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279" w:rsidRDefault="00085279" w:rsidP="00085279">
      <w:pPr>
        <w:widowControl w:val="0"/>
        <w:spacing w:after="0"/>
        <w:rPr>
          <w:b/>
          <w:szCs w:val="24"/>
        </w:rPr>
      </w:pPr>
    </w:p>
    <w:p w:rsidR="00085279" w:rsidRDefault="00085279" w:rsidP="00085279">
      <w:pPr>
        <w:widowControl w:val="0"/>
        <w:spacing w:after="0"/>
        <w:rPr>
          <w:b/>
          <w:szCs w:val="24"/>
        </w:rPr>
      </w:pPr>
    </w:p>
    <w:p w:rsidR="00085279" w:rsidRPr="00F972D7" w:rsidRDefault="00085279" w:rsidP="00085279">
      <w:pPr>
        <w:widowControl w:val="0"/>
        <w:spacing w:after="0"/>
        <w:rPr>
          <w:b/>
          <w:szCs w:val="24"/>
        </w:rPr>
      </w:pPr>
      <w:r w:rsidRPr="00F972D7">
        <w:rPr>
          <w:b/>
          <w:szCs w:val="24"/>
        </w:rPr>
        <w:t xml:space="preserve">BEFORE THE ODISHA ELECTRICITY REGULATORY COMMISSION, </w:t>
      </w:r>
      <w:r>
        <w:rPr>
          <w:b/>
          <w:szCs w:val="24"/>
        </w:rPr>
        <w:t>BHUBANESHWAR</w:t>
      </w:r>
    </w:p>
    <w:p w:rsidR="00085279" w:rsidRPr="00F972D7" w:rsidRDefault="00085279" w:rsidP="00085279">
      <w:pPr>
        <w:widowControl w:val="0"/>
        <w:spacing w:after="0"/>
        <w:rPr>
          <w:b/>
          <w:szCs w:val="24"/>
        </w:rPr>
      </w:pPr>
    </w:p>
    <w:p w:rsidR="00085279" w:rsidRDefault="00085279" w:rsidP="00085279">
      <w:pPr>
        <w:widowControl w:val="0"/>
        <w:spacing w:after="0"/>
        <w:jc w:val="right"/>
        <w:rPr>
          <w:szCs w:val="24"/>
        </w:rPr>
      </w:pPr>
      <w:r>
        <w:rPr>
          <w:szCs w:val="24"/>
        </w:rPr>
        <w:t xml:space="preserve">File No. </w:t>
      </w:r>
      <w:r w:rsidR="00592B60">
        <w:rPr>
          <w:szCs w:val="24"/>
        </w:rPr>
        <w:t>3</w:t>
      </w:r>
      <w:r w:rsidR="000C736D">
        <w:rPr>
          <w:szCs w:val="24"/>
        </w:rPr>
        <w:t>(B)</w:t>
      </w:r>
    </w:p>
    <w:p w:rsidR="00085279" w:rsidRPr="00F972D7" w:rsidRDefault="00085279" w:rsidP="00085279">
      <w:pPr>
        <w:widowControl w:val="0"/>
        <w:spacing w:after="0"/>
        <w:jc w:val="right"/>
        <w:rPr>
          <w:szCs w:val="24"/>
        </w:rPr>
      </w:pPr>
      <w:r w:rsidRPr="00F972D7">
        <w:rPr>
          <w:szCs w:val="24"/>
        </w:rPr>
        <w:t>C</w:t>
      </w:r>
      <w:r>
        <w:rPr>
          <w:szCs w:val="24"/>
        </w:rPr>
        <w:t>ase</w:t>
      </w:r>
      <w:r w:rsidRPr="00F972D7">
        <w:rPr>
          <w:szCs w:val="24"/>
        </w:rPr>
        <w:t xml:space="preserve"> No. </w:t>
      </w:r>
      <w:r w:rsidR="00592B60">
        <w:rPr>
          <w:szCs w:val="24"/>
        </w:rPr>
        <w:t>104</w:t>
      </w:r>
      <w:r>
        <w:rPr>
          <w:szCs w:val="24"/>
        </w:rPr>
        <w:t>/</w:t>
      </w:r>
      <w:r w:rsidRPr="00F972D7">
        <w:rPr>
          <w:szCs w:val="24"/>
        </w:rPr>
        <w:t>20</w:t>
      </w:r>
      <w:r>
        <w:rPr>
          <w:szCs w:val="24"/>
        </w:rPr>
        <w:t>2</w:t>
      </w:r>
      <w:r w:rsidR="00592B60">
        <w:rPr>
          <w:szCs w:val="24"/>
        </w:rPr>
        <w:t>1</w:t>
      </w:r>
    </w:p>
    <w:p w:rsidR="00085279" w:rsidRPr="00F972D7" w:rsidRDefault="00085279" w:rsidP="00085279">
      <w:pPr>
        <w:widowControl w:val="0"/>
        <w:spacing w:after="0"/>
        <w:rPr>
          <w:szCs w:val="24"/>
        </w:rPr>
      </w:pPr>
    </w:p>
    <w:tbl>
      <w:tblPr>
        <w:tblW w:w="9322" w:type="dxa"/>
        <w:tblLook w:val="04A0"/>
      </w:tblPr>
      <w:tblGrid>
        <w:gridCol w:w="2977"/>
        <w:gridCol w:w="6345"/>
      </w:tblGrid>
      <w:tr w:rsidR="00085279" w:rsidRPr="00F972D7" w:rsidTr="00F55081">
        <w:trPr>
          <w:trHeight w:val="1154"/>
        </w:trPr>
        <w:tc>
          <w:tcPr>
            <w:tcW w:w="2977" w:type="dxa"/>
          </w:tcPr>
          <w:p w:rsidR="00085279" w:rsidRPr="00F972D7" w:rsidRDefault="00085279" w:rsidP="00F55081">
            <w:pPr>
              <w:widowControl w:val="0"/>
              <w:spacing w:after="0"/>
              <w:rPr>
                <w:szCs w:val="24"/>
              </w:rPr>
            </w:pPr>
            <w:r w:rsidRPr="00F972D7">
              <w:rPr>
                <w:b/>
                <w:szCs w:val="24"/>
              </w:rPr>
              <w:t>IN THE MATTER OF</w:t>
            </w:r>
          </w:p>
        </w:tc>
        <w:tc>
          <w:tcPr>
            <w:tcW w:w="6345" w:type="dxa"/>
          </w:tcPr>
          <w:p w:rsidR="00085279" w:rsidRPr="00F972D7" w:rsidRDefault="00085279" w:rsidP="00085279">
            <w:pPr>
              <w:pStyle w:val="Verbatium"/>
              <w:keepNext w:val="0"/>
              <w:widowControl w:val="0"/>
              <w:ind w:left="0"/>
              <w:rPr>
                <w:i w:val="0"/>
              </w:rPr>
            </w:pPr>
            <w:r w:rsidRPr="00743AB9">
              <w:rPr>
                <w:i w:val="0"/>
                <w:sz w:val="24"/>
              </w:rPr>
              <w:t>Petition</w:t>
            </w:r>
            <w:r>
              <w:rPr>
                <w:i w:val="0"/>
                <w:sz w:val="24"/>
              </w:rPr>
              <w:t xml:space="preserve"> for determination of Tariff for IB TPS Units 1 &amp; 2 for FY 202</w:t>
            </w:r>
            <w:r w:rsidR="00592B60">
              <w:rPr>
                <w:i w:val="0"/>
                <w:sz w:val="24"/>
              </w:rPr>
              <w:t>2</w:t>
            </w:r>
            <w:r>
              <w:rPr>
                <w:i w:val="0"/>
                <w:sz w:val="24"/>
              </w:rPr>
              <w:t>-2</w:t>
            </w:r>
            <w:r w:rsidR="00592B60">
              <w:rPr>
                <w:i w:val="0"/>
                <w:sz w:val="24"/>
              </w:rPr>
              <w:t>3</w:t>
            </w:r>
          </w:p>
        </w:tc>
      </w:tr>
      <w:tr w:rsidR="00085279" w:rsidRPr="00F972D7" w:rsidTr="00F55081">
        <w:trPr>
          <w:trHeight w:val="362"/>
        </w:trPr>
        <w:tc>
          <w:tcPr>
            <w:tcW w:w="2977" w:type="dxa"/>
          </w:tcPr>
          <w:p w:rsidR="00085279" w:rsidRPr="00F972D7" w:rsidRDefault="00085279" w:rsidP="00F55081">
            <w:pPr>
              <w:widowControl w:val="0"/>
              <w:spacing w:after="0"/>
              <w:rPr>
                <w:szCs w:val="24"/>
              </w:rPr>
            </w:pPr>
          </w:p>
        </w:tc>
        <w:tc>
          <w:tcPr>
            <w:tcW w:w="6345" w:type="dxa"/>
          </w:tcPr>
          <w:p w:rsidR="00085279" w:rsidRPr="00F972D7" w:rsidRDefault="00085279" w:rsidP="00F55081">
            <w:pPr>
              <w:widowControl w:val="0"/>
              <w:spacing w:after="0" w:line="240" w:lineRule="auto"/>
              <w:outlineLvl w:val="2"/>
              <w:rPr>
                <w:szCs w:val="24"/>
              </w:rPr>
            </w:pPr>
          </w:p>
        </w:tc>
      </w:tr>
      <w:tr w:rsidR="00085279" w:rsidRPr="00F972D7" w:rsidTr="00F55081">
        <w:trPr>
          <w:trHeight w:val="1204"/>
        </w:trPr>
        <w:tc>
          <w:tcPr>
            <w:tcW w:w="2977" w:type="dxa"/>
          </w:tcPr>
          <w:p w:rsidR="00085279" w:rsidRPr="00F972D7" w:rsidRDefault="00085279" w:rsidP="00F55081">
            <w:pPr>
              <w:widowControl w:val="0"/>
              <w:spacing w:after="0"/>
              <w:rPr>
                <w:szCs w:val="24"/>
              </w:rPr>
            </w:pPr>
            <w:r w:rsidRPr="00F972D7">
              <w:rPr>
                <w:b/>
                <w:szCs w:val="24"/>
              </w:rPr>
              <w:t>IN THE MATTER OF</w:t>
            </w:r>
          </w:p>
          <w:p w:rsidR="00085279" w:rsidRPr="00A13D91" w:rsidRDefault="00085279" w:rsidP="00F55081">
            <w:pPr>
              <w:widowControl w:val="0"/>
              <w:spacing w:after="0"/>
              <w:rPr>
                <w:rFonts w:eastAsia="Times New Roman"/>
                <w:b/>
                <w:bCs/>
                <w:szCs w:val="24"/>
              </w:rPr>
            </w:pPr>
            <w:r w:rsidRPr="00F972D7">
              <w:rPr>
                <w:b/>
                <w:szCs w:val="24"/>
              </w:rPr>
              <w:t>THE APPLICANT</w:t>
            </w:r>
          </w:p>
        </w:tc>
        <w:tc>
          <w:tcPr>
            <w:tcW w:w="6345" w:type="dxa"/>
          </w:tcPr>
          <w:p w:rsidR="00085279" w:rsidRPr="00F972D7" w:rsidRDefault="00085279" w:rsidP="00F55081">
            <w:pPr>
              <w:widowControl w:val="0"/>
              <w:spacing w:after="0"/>
              <w:rPr>
                <w:szCs w:val="24"/>
              </w:rPr>
            </w:pPr>
            <w:r w:rsidRPr="00F972D7">
              <w:rPr>
                <w:szCs w:val="24"/>
              </w:rPr>
              <w:t xml:space="preserve">Odisha Power Generation Corporation Ltd. (OPGC Ltd.), </w:t>
            </w:r>
          </w:p>
          <w:p w:rsidR="00085279" w:rsidRPr="00F972D7" w:rsidRDefault="00085279" w:rsidP="00F55081">
            <w:pPr>
              <w:widowControl w:val="0"/>
              <w:spacing w:after="0"/>
              <w:rPr>
                <w:szCs w:val="24"/>
              </w:rPr>
            </w:pPr>
            <w:r w:rsidRPr="00F972D7">
              <w:rPr>
                <w:szCs w:val="24"/>
              </w:rPr>
              <w:t>Zone-A, 7</w:t>
            </w:r>
            <w:r w:rsidRPr="00F972D7">
              <w:rPr>
                <w:szCs w:val="24"/>
                <w:vertAlign w:val="superscript"/>
              </w:rPr>
              <w:t>th</w:t>
            </w:r>
            <w:r w:rsidRPr="00F972D7">
              <w:rPr>
                <w:szCs w:val="24"/>
              </w:rPr>
              <w:t xml:space="preserve"> Floor, Fortune Towers, Chandrasekharpur, Bhubaneswar-751023, Odisha, India</w:t>
            </w:r>
            <w:r>
              <w:rPr>
                <w:szCs w:val="24"/>
              </w:rPr>
              <w:t xml:space="preserve">…………. </w:t>
            </w:r>
            <w:r w:rsidRPr="00E66544">
              <w:rPr>
                <w:b/>
                <w:szCs w:val="24"/>
              </w:rPr>
              <w:t>Petitioner</w:t>
            </w:r>
          </w:p>
        </w:tc>
      </w:tr>
      <w:tr w:rsidR="00085279" w:rsidRPr="00F972D7" w:rsidTr="00F55081">
        <w:trPr>
          <w:trHeight w:val="428"/>
        </w:trPr>
        <w:tc>
          <w:tcPr>
            <w:tcW w:w="2977" w:type="dxa"/>
          </w:tcPr>
          <w:p w:rsidR="00085279" w:rsidRPr="00F972D7" w:rsidRDefault="00085279" w:rsidP="00F55081">
            <w:pPr>
              <w:widowControl w:val="0"/>
              <w:spacing w:after="0"/>
              <w:rPr>
                <w:b/>
                <w:szCs w:val="24"/>
              </w:rPr>
            </w:pPr>
          </w:p>
        </w:tc>
        <w:tc>
          <w:tcPr>
            <w:tcW w:w="6345" w:type="dxa"/>
          </w:tcPr>
          <w:p w:rsidR="00085279" w:rsidRPr="00F972D7" w:rsidRDefault="00085279" w:rsidP="00F55081">
            <w:pPr>
              <w:widowControl w:val="0"/>
              <w:spacing w:after="0"/>
              <w:rPr>
                <w:szCs w:val="24"/>
              </w:rPr>
            </w:pPr>
          </w:p>
        </w:tc>
      </w:tr>
      <w:tr w:rsidR="00085279" w:rsidRPr="00F972D7" w:rsidTr="00F55081">
        <w:trPr>
          <w:trHeight w:val="704"/>
        </w:trPr>
        <w:tc>
          <w:tcPr>
            <w:tcW w:w="2977" w:type="dxa"/>
          </w:tcPr>
          <w:p w:rsidR="00085279" w:rsidRDefault="00085279" w:rsidP="00F55081">
            <w:pPr>
              <w:widowControl w:val="0"/>
              <w:spacing w:after="0"/>
              <w:rPr>
                <w:b/>
                <w:szCs w:val="24"/>
              </w:rPr>
            </w:pPr>
            <w:r>
              <w:rPr>
                <w:b/>
                <w:szCs w:val="24"/>
              </w:rPr>
              <w:t>IN THE MATTER OF</w:t>
            </w:r>
          </w:p>
        </w:tc>
        <w:tc>
          <w:tcPr>
            <w:tcW w:w="6345" w:type="dxa"/>
          </w:tcPr>
          <w:p w:rsidR="00085279" w:rsidRDefault="00085279" w:rsidP="00F55081">
            <w:pPr>
              <w:widowControl w:val="0"/>
              <w:spacing w:after="0"/>
              <w:rPr>
                <w:szCs w:val="24"/>
              </w:rPr>
            </w:pPr>
            <w:r>
              <w:rPr>
                <w:szCs w:val="24"/>
              </w:rPr>
              <w:t xml:space="preserve">Submission of information in response to the comments of </w:t>
            </w:r>
          </w:p>
          <w:p w:rsidR="00085279" w:rsidRDefault="00085279" w:rsidP="004F66ED">
            <w:pPr>
              <w:widowControl w:val="0"/>
              <w:spacing w:after="0"/>
              <w:rPr>
                <w:szCs w:val="24"/>
              </w:rPr>
            </w:pPr>
            <w:r>
              <w:rPr>
                <w:szCs w:val="24"/>
              </w:rPr>
              <w:t>Shri Ramesh Ch. Satpathy</w:t>
            </w:r>
          </w:p>
        </w:tc>
      </w:tr>
    </w:tbl>
    <w:p w:rsidR="00085279" w:rsidRDefault="00085279" w:rsidP="00085279">
      <w:pPr>
        <w:spacing w:after="0" w:line="240" w:lineRule="auto"/>
        <w:rPr>
          <w:b/>
          <w:szCs w:val="24"/>
        </w:rPr>
      </w:pPr>
    </w:p>
    <w:p w:rsidR="00085279" w:rsidRDefault="00085279" w:rsidP="00085279">
      <w:pPr>
        <w:spacing w:after="0" w:line="312" w:lineRule="auto"/>
        <w:rPr>
          <w:szCs w:val="24"/>
        </w:rPr>
      </w:pPr>
      <w:r>
        <w:rPr>
          <w:szCs w:val="24"/>
        </w:rPr>
        <w:t xml:space="preserve">I, </w:t>
      </w:r>
      <w:r w:rsidR="00592B60">
        <w:rPr>
          <w:szCs w:val="24"/>
        </w:rPr>
        <w:t>Haresh Kumar Satapathy</w:t>
      </w:r>
      <w:r>
        <w:rPr>
          <w:szCs w:val="24"/>
        </w:rPr>
        <w:t>, son of Shri</w:t>
      </w:r>
      <w:r w:rsidR="004F66ED">
        <w:rPr>
          <w:szCs w:val="24"/>
        </w:rPr>
        <w:t xml:space="preserve"> </w:t>
      </w:r>
      <w:r w:rsidR="00592B60">
        <w:rPr>
          <w:szCs w:val="24"/>
        </w:rPr>
        <w:t>Kailash Chandra Satapathy</w:t>
      </w:r>
      <w:r w:rsidR="001E796D">
        <w:rPr>
          <w:szCs w:val="24"/>
        </w:rPr>
        <w:t>, aged about 5</w:t>
      </w:r>
      <w:r w:rsidR="00592B60">
        <w:rPr>
          <w:szCs w:val="24"/>
        </w:rPr>
        <w:t>3</w:t>
      </w:r>
      <w:r>
        <w:rPr>
          <w:szCs w:val="24"/>
        </w:rPr>
        <w:t xml:space="preserve"> years, do solemnly affirm and say as follows:</w:t>
      </w:r>
    </w:p>
    <w:p w:rsidR="00085279" w:rsidRDefault="00085279" w:rsidP="00085279">
      <w:pPr>
        <w:spacing w:after="0" w:line="312" w:lineRule="auto"/>
        <w:rPr>
          <w:b/>
          <w:szCs w:val="24"/>
          <w:u w:val="single"/>
        </w:rPr>
      </w:pPr>
    </w:p>
    <w:p w:rsidR="00085279" w:rsidRPr="00744895" w:rsidRDefault="00085279" w:rsidP="00085279">
      <w:pPr>
        <w:pStyle w:val="ListParagraph"/>
        <w:keepNext w:val="0"/>
        <w:widowControl w:val="0"/>
        <w:numPr>
          <w:ilvl w:val="1"/>
          <w:numId w:val="2"/>
        </w:numPr>
        <w:outlineLvl w:val="9"/>
        <w:rPr>
          <w:szCs w:val="24"/>
        </w:rPr>
      </w:pPr>
      <w:r>
        <w:rPr>
          <w:szCs w:val="24"/>
        </w:rPr>
        <w:t xml:space="preserve">That I am the </w:t>
      </w:r>
      <w:r w:rsidR="00592B60">
        <w:rPr>
          <w:szCs w:val="24"/>
        </w:rPr>
        <w:t xml:space="preserve">Deputy </w:t>
      </w:r>
      <w:r>
        <w:rPr>
          <w:szCs w:val="24"/>
        </w:rPr>
        <w:t>General Manager (</w:t>
      </w:r>
      <w:r w:rsidR="000C736D">
        <w:rPr>
          <w:szCs w:val="24"/>
        </w:rPr>
        <w:t>R&amp;</w:t>
      </w:r>
      <w:r>
        <w:rPr>
          <w:szCs w:val="24"/>
        </w:rPr>
        <w:t xml:space="preserve">C) of </w:t>
      </w:r>
      <w:r>
        <w:t>Odisha Power Generation Corporation Limited, the Petitioner in the above matter and am duly authorised by the said Petitioner to make this affidavit on its behalf.</w:t>
      </w:r>
    </w:p>
    <w:p w:rsidR="00085279" w:rsidRPr="00A35607" w:rsidRDefault="00085279" w:rsidP="00085279">
      <w:pPr>
        <w:pStyle w:val="ListParagraph"/>
        <w:keepNext w:val="0"/>
        <w:widowControl w:val="0"/>
        <w:numPr>
          <w:ilvl w:val="1"/>
          <w:numId w:val="2"/>
        </w:numPr>
        <w:outlineLvl w:val="9"/>
        <w:rPr>
          <w:szCs w:val="24"/>
        </w:rPr>
      </w:pPr>
      <w:r>
        <w:t>The replies made in the foregoing paragraphs in response to comments of Shri Ramesh Ch. Satpathy on OPGC’s Petition for tariff determination for FY 202</w:t>
      </w:r>
      <w:r w:rsidR="00592B60">
        <w:t>2</w:t>
      </w:r>
      <w:r>
        <w:t>-2</w:t>
      </w:r>
      <w:r w:rsidR="00592B60">
        <w:t>3</w:t>
      </w:r>
      <w:r>
        <w:t xml:space="preserve"> in Case No. </w:t>
      </w:r>
      <w:r w:rsidR="00592B60">
        <w:t>104</w:t>
      </w:r>
      <w:r>
        <w:t xml:space="preserve"> of 202</w:t>
      </w:r>
      <w:r w:rsidR="00592B60">
        <w:t>1</w:t>
      </w:r>
      <w:r>
        <w:t xml:space="preserve"> are based on information provided to me and I believe them to be true to the best of my knowledge.</w:t>
      </w:r>
    </w:p>
    <w:p w:rsidR="00085279" w:rsidRDefault="00085279" w:rsidP="00085279">
      <w:pPr>
        <w:ind w:left="7200"/>
        <w:rPr>
          <w:szCs w:val="24"/>
        </w:rPr>
      </w:pPr>
    </w:p>
    <w:p w:rsidR="00085279" w:rsidRDefault="00085279" w:rsidP="00085279">
      <w:pPr>
        <w:spacing w:after="0" w:line="240" w:lineRule="auto"/>
        <w:jc w:val="right"/>
        <w:rPr>
          <w:szCs w:val="24"/>
        </w:rPr>
      </w:pPr>
      <w:r>
        <w:rPr>
          <w:szCs w:val="24"/>
        </w:rPr>
        <w:t>Deponent</w:t>
      </w:r>
    </w:p>
    <w:p w:rsidR="00085279" w:rsidRDefault="00085279" w:rsidP="00085279">
      <w:pPr>
        <w:spacing w:after="0" w:line="240" w:lineRule="auto"/>
        <w:rPr>
          <w:b/>
          <w:szCs w:val="24"/>
        </w:rPr>
      </w:pPr>
    </w:p>
    <w:p w:rsidR="00085279" w:rsidRDefault="00085279" w:rsidP="00085279">
      <w:pPr>
        <w:spacing w:after="0" w:line="240" w:lineRule="auto"/>
        <w:rPr>
          <w:b/>
          <w:szCs w:val="24"/>
        </w:rPr>
      </w:pPr>
    </w:p>
    <w:p w:rsidR="00085279" w:rsidRPr="003F2726" w:rsidRDefault="00085279" w:rsidP="00085279">
      <w:pPr>
        <w:spacing w:after="0" w:line="240" w:lineRule="auto"/>
        <w:rPr>
          <w:szCs w:val="24"/>
        </w:rPr>
      </w:pPr>
      <w:r w:rsidRPr="003F2726">
        <w:rPr>
          <w:szCs w:val="24"/>
        </w:rPr>
        <w:t>Bhubaneswar</w:t>
      </w:r>
    </w:p>
    <w:p w:rsidR="00085279" w:rsidRPr="00085279" w:rsidRDefault="001E796D" w:rsidP="00085279">
      <w:pPr>
        <w:spacing w:line="276" w:lineRule="auto"/>
        <w:rPr>
          <w:szCs w:val="24"/>
        </w:rPr>
      </w:pPr>
      <w:r>
        <w:rPr>
          <w:szCs w:val="24"/>
        </w:rPr>
        <w:t>January</w:t>
      </w:r>
      <w:r w:rsidR="000C736D">
        <w:rPr>
          <w:szCs w:val="24"/>
        </w:rPr>
        <w:t xml:space="preserve"> 27</w:t>
      </w:r>
      <w:r w:rsidR="00085279" w:rsidRPr="003F2726">
        <w:rPr>
          <w:szCs w:val="24"/>
        </w:rPr>
        <w:t>, 20</w:t>
      </w:r>
      <w:r w:rsidR="00085279">
        <w:rPr>
          <w:szCs w:val="24"/>
        </w:rPr>
        <w:t>2</w:t>
      </w:r>
      <w:r w:rsidR="00592B60">
        <w:rPr>
          <w:szCs w:val="24"/>
        </w:rPr>
        <w:t>2</w:t>
      </w:r>
    </w:p>
    <w:p w:rsidR="00085279" w:rsidRPr="00F972D7" w:rsidRDefault="00085279" w:rsidP="00085279">
      <w:pPr>
        <w:widowControl w:val="0"/>
        <w:spacing w:after="0"/>
        <w:rPr>
          <w:b/>
          <w:szCs w:val="24"/>
        </w:rPr>
      </w:pPr>
      <w:r w:rsidRPr="00F972D7">
        <w:rPr>
          <w:b/>
          <w:szCs w:val="24"/>
        </w:rPr>
        <w:lastRenderedPageBreak/>
        <w:t xml:space="preserve">BEFORE THE ODISHA ELECTRICITY REGULATORY COMMISSION, </w:t>
      </w:r>
      <w:r>
        <w:rPr>
          <w:b/>
          <w:szCs w:val="24"/>
        </w:rPr>
        <w:t>BHUBANESHWAR</w:t>
      </w:r>
    </w:p>
    <w:p w:rsidR="00085279" w:rsidRPr="00F972D7" w:rsidRDefault="00085279" w:rsidP="00085279">
      <w:pPr>
        <w:widowControl w:val="0"/>
        <w:spacing w:after="0"/>
        <w:rPr>
          <w:b/>
          <w:szCs w:val="24"/>
        </w:rPr>
      </w:pPr>
    </w:p>
    <w:p w:rsidR="00085279" w:rsidRPr="00F972D7" w:rsidRDefault="00085279" w:rsidP="00085279">
      <w:pPr>
        <w:widowControl w:val="0"/>
        <w:spacing w:after="0"/>
        <w:rPr>
          <w:szCs w:val="24"/>
        </w:rPr>
      </w:pPr>
      <w:r w:rsidRPr="00F972D7">
        <w:rPr>
          <w:szCs w:val="24"/>
        </w:rPr>
        <w:t xml:space="preserve">CASE No. </w:t>
      </w:r>
      <w:r w:rsidR="00592B60">
        <w:rPr>
          <w:szCs w:val="24"/>
        </w:rPr>
        <w:t>104</w:t>
      </w:r>
      <w:r w:rsidRPr="00F972D7">
        <w:rPr>
          <w:szCs w:val="24"/>
        </w:rPr>
        <w:t xml:space="preserve"> of 20</w:t>
      </w:r>
      <w:r>
        <w:rPr>
          <w:szCs w:val="24"/>
        </w:rPr>
        <w:t>2</w:t>
      </w:r>
      <w:r w:rsidR="00592B60">
        <w:rPr>
          <w:szCs w:val="24"/>
        </w:rPr>
        <w:t>1</w:t>
      </w:r>
    </w:p>
    <w:p w:rsidR="00085279" w:rsidRPr="00F972D7" w:rsidRDefault="00085279" w:rsidP="00085279">
      <w:pPr>
        <w:widowControl w:val="0"/>
        <w:spacing w:after="0"/>
        <w:rPr>
          <w:szCs w:val="24"/>
        </w:rPr>
      </w:pPr>
    </w:p>
    <w:tbl>
      <w:tblPr>
        <w:tblW w:w="9322" w:type="dxa"/>
        <w:tblLook w:val="04A0"/>
      </w:tblPr>
      <w:tblGrid>
        <w:gridCol w:w="2977"/>
        <w:gridCol w:w="6345"/>
      </w:tblGrid>
      <w:tr w:rsidR="00085279" w:rsidRPr="00F972D7" w:rsidTr="00F55081">
        <w:trPr>
          <w:trHeight w:val="1154"/>
        </w:trPr>
        <w:tc>
          <w:tcPr>
            <w:tcW w:w="2977" w:type="dxa"/>
          </w:tcPr>
          <w:p w:rsidR="00085279" w:rsidRPr="00F972D7" w:rsidRDefault="00085279" w:rsidP="00F55081">
            <w:pPr>
              <w:widowControl w:val="0"/>
              <w:spacing w:after="0"/>
              <w:rPr>
                <w:szCs w:val="24"/>
              </w:rPr>
            </w:pPr>
            <w:bookmarkStart w:id="0" w:name="_Hlk331162810"/>
            <w:r w:rsidRPr="00F972D7">
              <w:rPr>
                <w:b/>
                <w:szCs w:val="24"/>
              </w:rPr>
              <w:t>IN THE MATTER OF</w:t>
            </w:r>
          </w:p>
        </w:tc>
        <w:tc>
          <w:tcPr>
            <w:tcW w:w="6345" w:type="dxa"/>
          </w:tcPr>
          <w:p w:rsidR="00085279" w:rsidRPr="00F972D7" w:rsidRDefault="00085279" w:rsidP="00085279">
            <w:pPr>
              <w:pStyle w:val="Verbatium"/>
              <w:keepNext w:val="0"/>
              <w:widowControl w:val="0"/>
              <w:ind w:left="0"/>
              <w:rPr>
                <w:i w:val="0"/>
              </w:rPr>
            </w:pPr>
            <w:r w:rsidRPr="00743AB9">
              <w:rPr>
                <w:i w:val="0"/>
                <w:sz w:val="24"/>
              </w:rPr>
              <w:t xml:space="preserve">Petition for </w:t>
            </w:r>
            <w:r>
              <w:rPr>
                <w:i w:val="0"/>
                <w:sz w:val="24"/>
              </w:rPr>
              <w:t>determination of Tariff for IB TPS Units 1 &amp; 2 for FY 202</w:t>
            </w:r>
            <w:r w:rsidR="00592B60">
              <w:rPr>
                <w:i w:val="0"/>
                <w:sz w:val="24"/>
              </w:rPr>
              <w:t>2</w:t>
            </w:r>
            <w:r>
              <w:rPr>
                <w:i w:val="0"/>
                <w:sz w:val="24"/>
              </w:rPr>
              <w:t>-2</w:t>
            </w:r>
            <w:r w:rsidR="00592B60">
              <w:rPr>
                <w:i w:val="0"/>
                <w:sz w:val="24"/>
              </w:rPr>
              <w:t>3</w:t>
            </w:r>
          </w:p>
        </w:tc>
      </w:tr>
      <w:bookmarkEnd w:id="0"/>
      <w:tr w:rsidR="00085279" w:rsidRPr="00F972D7" w:rsidTr="00F55081">
        <w:trPr>
          <w:trHeight w:val="362"/>
        </w:trPr>
        <w:tc>
          <w:tcPr>
            <w:tcW w:w="2977" w:type="dxa"/>
          </w:tcPr>
          <w:p w:rsidR="00085279" w:rsidRPr="00F972D7" w:rsidRDefault="00085279" w:rsidP="00F55081">
            <w:pPr>
              <w:widowControl w:val="0"/>
              <w:spacing w:after="0"/>
              <w:rPr>
                <w:szCs w:val="24"/>
              </w:rPr>
            </w:pPr>
          </w:p>
        </w:tc>
        <w:tc>
          <w:tcPr>
            <w:tcW w:w="6345" w:type="dxa"/>
          </w:tcPr>
          <w:p w:rsidR="00085279" w:rsidRPr="0041580D" w:rsidRDefault="00085279" w:rsidP="00F55081">
            <w:pPr>
              <w:widowControl w:val="0"/>
              <w:spacing w:after="0" w:line="240" w:lineRule="auto"/>
              <w:jc w:val="center"/>
              <w:outlineLvl w:val="2"/>
              <w:rPr>
                <w:b/>
                <w:szCs w:val="24"/>
              </w:rPr>
            </w:pPr>
            <w:r w:rsidRPr="0041580D">
              <w:rPr>
                <w:b/>
                <w:szCs w:val="24"/>
              </w:rPr>
              <w:t>AND</w:t>
            </w:r>
          </w:p>
        </w:tc>
      </w:tr>
      <w:tr w:rsidR="00085279" w:rsidRPr="00F972D7" w:rsidTr="00F55081">
        <w:trPr>
          <w:trHeight w:val="1204"/>
        </w:trPr>
        <w:tc>
          <w:tcPr>
            <w:tcW w:w="2977" w:type="dxa"/>
          </w:tcPr>
          <w:p w:rsidR="00085279" w:rsidRPr="00F972D7" w:rsidRDefault="00085279" w:rsidP="00F55081">
            <w:pPr>
              <w:widowControl w:val="0"/>
              <w:spacing w:after="0"/>
              <w:rPr>
                <w:szCs w:val="24"/>
              </w:rPr>
            </w:pPr>
            <w:r w:rsidRPr="00F972D7">
              <w:rPr>
                <w:b/>
                <w:szCs w:val="24"/>
              </w:rPr>
              <w:t>IN THE MATTER OF</w:t>
            </w:r>
          </w:p>
          <w:p w:rsidR="00085279" w:rsidRPr="00A13D91" w:rsidRDefault="00085279" w:rsidP="00F55081">
            <w:pPr>
              <w:widowControl w:val="0"/>
              <w:spacing w:after="0"/>
              <w:rPr>
                <w:rFonts w:eastAsia="Times New Roman"/>
                <w:b/>
                <w:bCs/>
                <w:szCs w:val="24"/>
              </w:rPr>
            </w:pPr>
            <w:r w:rsidRPr="00F972D7">
              <w:rPr>
                <w:b/>
                <w:szCs w:val="24"/>
              </w:rPr>
              <w:t>THE APPLICANT</w:t>
            </w:r>
          </w:p>
        </w:tc>
        <w:tc>
          <w:tcPr>
            <w:tcW w:w="6345" w:type="dxa"/>
          </w:tcPr>
          <w:p w:rsidR="00085279" w:rsidRPr="00F972D7" w:rsidRDefault="00085279" w:rsidP="00F55081">
            <w:pPr>
              <w:widowControl w:val="0"/>
              <w:spacing w:after="0"/>
              <w:rPr>
                <w:szCs w:val="24"/>
              </w:rPr>
            </w:pPr>
            <w:r w:rsidRPr="00F972D7">
              <w:rPr>
                <w:szCs w:val="24"/>
              </w:rPr>
              <w:t xml:space="preserve">Odisha Power Generation Corporation Ltd. (OPGC Ltd.), </w:t>
            </w:r>
          </w:p>
          <w:p w:rsidR="00085279" w:rsidRPr="00F972D7" w:rsidRDefault="00085279" w:rsidP="00F55081">
            <w:pPr>
              <w:widowControl w:val="0"/>
              <w:spacing w:after="0"/>
              <w:rPr>
                <w:szCs w:val="24"/>
              </w:rPr>
            </w:pPr>
            <w:r w:rsidRPr="00F972D7">
              <w:rPr>
                <w:szCs w:val="24"/>
              </w:rPr>
              <w:t>Zone-A, 7</w:t>
            </w:r>
            <w:r w:rsidRPr="00F972D7">
              <w:rPr>
                <w:szCs w:val="24"/>
                <w:vertAlign w:val="superscript"/>
              </w:rPr>
              <w:t>th</w:t>
            </w:r>
            <w:r w:rsidRPr="00F972D7">
              <w:rPr>
                <w:szCs w:val="24"/>
              </w:rPr>
              <w:t xml:space="preserve"> Floor, Fortune Towers, Chandrasekharpur, Bhubaneswar-751023, Odisha, India</w:t>
            </w:r>
            <w:r>
              <w:rPr>
                <w:szCs w:val="24"/>
              </w:rPr>
              <w:t xml:space="preserve">……. </w:t>
            </w:r>
            <w:r w:rsidRPr="004B55EE">
              <w:rPr>
                <w:b/>
                <w:szCs w:val="24"/>
              </w:rPr>
              <w:t>Petitioner</w:t>
            </w:r>
          </w:p>
        </w:tc>
      </w:tr>
      <w:tr w:rsidR="00085279" w:rsidRPr="00F972D7" w:rsidTr="00F55081">
        <w:trPr>
          <w:trHeight w:val="428"/>
        </w:trPr>
        <w:tc>
          <w:tcPr>
            <w:tcW w:w="2977" w:type="dxa"/>
          </w:tcPr>
          <w:p w:rsidR="00085279" w:rsidRPr="00F972D7" w:rsidRDefault="00085279" w:rsidP="00F55081">
            <w:pPr>
              <w:widowControl w:val="0"/>
              <w:spacing w:after="0"/>
              <w:rPr>
                <w:b/>
                <w:szCs w:val="24"/>
              </w:rPr>
            </w:pPr>
          </w:p>
        </w:tc>
        <w:tc>
          <w:tcPr>
            <w:tcW w:w="6345" w:type="dxa"/>
          </w:tcPr>
          <w:p w:rsidR="00085279" w:rsidRPr="0041580D" w:rsidRDefault="00085279" w:rsidP="00F55081">
            <w:pPr>
              <w:widowControl w:val="0"/>
              <w:spacing w:after="0"/>
              <w:jc w:val="center"/>
              <w:rPr>
                <w:b/>
                <w:szCs w:val="24"/>
              </w:rPr>
            </w:pPr>
            <w:r w:rsidRPr="0041580D">
              <w:rPr>
                <w:b/>
                <w:szCs w:val="24"/>
              </w:rPr>
              <w:t>AND</w:t>
            </w:r>
          </w:p>
        </w:tc>
      </w:tr>
      <w:tr w:rsidR="00085279" w:rsidRPr="00F972D7" w:rsidTr="00F55081">
        <w:trPr>
          <w:trHeight w:val="704"/>
        </w:trPr>
        <w:tc>
          <w:tcPr>
            <w:tcW w:w="2977" w:type="dxa"/>
          </w:tcPr>
          <w:p w:rsidR="00085279" w:rsidRDefault="00085279" w:rsidP="00F55081">
            <w:pPr>
              <w:widowControl w:val="0"/>
              <w:spacing w:after="0"/>
              <w:rPr>
                <w:b/>
                <w:szCs w:val="24"/>
              </w:rPr>
            </w:pPr>
            <w:r>
              <w:rPr>
                <w:b/>
                <w:szCs w:val="24"/>
              </w:rPr>
              <w:t>IN THE MATTER OF</w:t>
            </w:r>
          </w:p>
        </w:tc>
        <w:tc>
          <w:tcPr>
            <w:tcW w:w="6345" w:type="dxa"/>
          </w:tcPr>
          <w:p w:rsidR="00085279" w:rsidRDefault="00085279" w:rsidP="00F55081">
            <w:pPr>
              <w:widowControl w:val="0"/>
              <w:spacing w:after="0"/>
              <w:rPr>
                <w:szCs w:val="24"/>
              </w:rPr>
            </w:pPr>
            <w:r>
              <w:rPr>
                <w:szCs w:val="24"/>
              </w:rPr>
              <w:t xml:space="preserve">Submission of information in response to the comments of </w:t>
            </w:r>
          </w:p>
          <w:p w:rsidR="00085279" w:rsidRDefault="00085279" w:rsidP="00F55081">
            <w:pPr>
              <w:widowControl w:val="0"/>
              <w:spacing w:after="0"/>
              <w:rPr>
                <w:szCs w:val="24"/>
              </w:rPr>
            </w:pPr>
            <w:r>
              <w:rPr>
                <w:szCs w:val="24"/>
              </w:rPr>
              <w:t>Shri. Ramesh Ch. Satpathy</w:t>
            </w:r>
          </w:p>
          <w:p w:rsidR="00085279" w:rsidRPr="00AD3198" w:rsidRDefault="00085279" w:rsidP="00F55081">
            <w:pPr>
              <w:widowControl w:val="0"/>
              <w:spacing w:after="0"/>
              <w:rPr>
                <w:szCs w:val="24"/>
              </w:rPr>
            </w:pPr>
          </w:p>
        </w:tc>
      </w:tr>
    </w:tbl>
    <w:p w:rsidR="00085279" w:rsidRDefault="00085279" w:rsidP="00085279">
      <w:pPr>
        <w:widowControl w:val="0"/>
        <w:spacing w:after="0"/>
        <w:rPr>
          <w:b/>
          <w:szCs w:val="24"/>
        </w:rPr>
      </w:pPr>
    </w:p>
    <w:p w:rsidR="00085279" w:rsidRPr="00F972D7" w:rsidRDefault="00085279" w:rsidP="00085279">
      <w:pPr>
        <w:widowControl w:val="0"/>
        <w:spacing w:after="0"/>
        <w:rPr>
          <w:szCs w:val="24"/>
        </w:rPr>
      </w:pPr>
      <w:r w:rsidRPr="00F972D7">
        <w:rPr>
          <w:b/>
          <w:szCs w:val="24"/>
        </w:rPr>
        <w:t>ODISHA POWER GENERATION CORPORATION LIMITED (“The Petitioner”) RESPECTFULLY SUBMITS AS FOLLOWS:</w:t>
      </w:r>
    </w:p>
    <w:p w:rsidR="001E796D" w:rsidRDefault="001E796D" w:rsidP="00085279">
      <w:pPr>
        <w:pStyle w:val="Heading2"/>
        <w:keepNext w:val="0"/>
        <w:widowControl w:val="0"/>
        <w:numPr>
          <w:ilvl w:val="0"/>
          <w:numId w:val="0"/>
        </w:numPr>
      </w:pPr>
    </w:p>
    <w:p w:rsidR="00085279" w:rsidRDefault="00085279" w:rsidP="00085279">
      <w:pPr>
        <w:pStyle w:val="Heading2"/>
        <w:keepNext w:val="0"/>
        <w:widowControl w:val="0"/>
        <w:numPr>
          <w:ilvl w:val="0"/>
          <w:numId w:val="0"/>
        </w:numPr>
        <w:rPr>
          <w:szCs w:val="24"/>
        </w:rPr>
      </w:pPr>
      <w:r w:rsidRPr="00F972D7">
        <w:t xml:space="preserve">Odisha Power Generation Corporation Limited (herein after referred as “OPGC” or “the Petitioner”) </w:t>
      </w:r>
      <w:r>
        <w:t>filed the Petition for determination of tariff for FY 202</w:t>
      </w:r>
      <w:r w:rsidR="00592B60">
        <w:t>2</w:t>
      </w:r>
      <w:r>
        <w:t>-2</w:t>
      </w:r>
      <w:r w:rsidR="00592B60">
        <w:t>3</w:t>
      </w:r>
      <w:r>
        <w:t xml:space="preserve">, before the Hon’ble Odisha Electricity Regulatory Commission (“OERC” or “Commission”) on November </w:t>
      </w:r>
      <w:r w:rsidR="000C736D">
        <w:t>30</w:t>
      </w:r>
      <w:r>
        <w:t>, 202</w:t>
      </w:r>
      <w:r w:rsidR="00592B60">
        <w:t>1</w:t>
      </w:r>
      <w:r>
        <w:t xml:space="preserve"> which have been registered as Case No. </w:t>
      </w:r>
      <w:r w:rsidR="00592B60">
        <w:t>104</w:t>
      </w:r>
      <w:r>
        <w:t xml:space="preserve"> of 202</w:t>
      </w:r>
      <w:r w:rsidR="00592B60">
        <w:t>1</w:t>
      </w:r>
      <w:r w:rsidRPr="00F972D7">
        <w:t>.</w:t>
      </w:r>
      <w:r>
        <w:rPr>
          <w:szCs w:val="24"/>
        </w:rPr>
        <w:t xml:space="preserve">Shri. Ramesh Ch. Satpathy vide Affidavit dated January </w:t>
      </w:r>
      <w:r w:rsidRPr="00821A80">
        <w:rPr>
          <w:szCs w:val="24"/>
        </w:rPr>
        <w:t>1</w:t>
      </w:r>
      <w:r w:rsidR="00592B60">
        <w:rPr>
          <w:szCs w:val="24"/>
        </w:rPr>
        <w:t>5</w:t>
      </w:r>
      <w:r w:rsidRPr="00821A80">
        <w:rPr>
          <w:szCs w:val="24"/>
        </w:rPr>
        <w:t>, 202</w:t>
      </w:r>
      <w:r w:rsidR="00592B60">
        <w:rPr>
          <w:szCs w:val="24"/>
        </w:rPr>
        <w:t>2</w:t>
      </w:r>
      <w:r>
        <w:rPr>
          <w:szCs w:val="24"/>
        </w:rPr>
        <w:t xml:space="preserve"> submitted objections/suggestions with the following prayer:</w:t>
      </w:r>
    </w:p>
    <w:p w:rsidR="00085279" w:rsidRPr="00736435" w:rsidRDefault="00085279" w:rsidP="00085279">
      <w:pPr>
        <w:ind w:left="720"/>
        <w:rPr>
          <w:i/>
          <w:lang w:val="en-GB"/>
        </w:rPr>
      </w:pPr>
      <w:r>
        <w:rPr>
          <w:i/>
          <w:lang w:val="en-GB"/>
        </w:rPr>
        <w:t>“Under the above circumstances the objector pray before the Hon’ble Commission to kindly direct the OPGC to produce the status report of all points raised by the objector before the hearing of the cases and terrific hike should not be allowed for the inefficiency of OPGC, being a Govt. of Odisha Company.”</w:t>
      </w:r>
    </w:p>
    <w:p w:rsidR="00085279" w:rsidRDefault="00085279" w:rsidP="00085279">
      <w:pPr>
        <w:pStyle w:val="Heading2"/>
        <w:keepNext w:val="0"/>
        <w:widowControl w:val="0"/>
        <w:numPr>
          <w:ilvl w:val="0"/>
          <w:numId w:val="0"/>
        </w:numPr>
        <w:rPr>
          <w:lang w:val="en-US"/>
        </w:rPr>
      </w:pPr>
      <w:r w:rsidRPr="00C35CEE">
        <w:rPr>
          <w:lang w:val="en-US"/>
        </w:rPr>
        <w:t xml:space="preserve">The Petitioner specifically denies every averment, allegation and assertion made by the stakeholder save where expressly stated otherwise or insofar as they pertain to matters of record. Further, it is submitted that nothing in the instant submission ought to be construed as an admission on the part of the Petitioner unless expressly so stated. The Petitioner reiterates </w:t>
      </w:r>
      <w:r w:rsidRPr="00C35CEE">
        <w:rPr>
          <w:lang w:val="en-US"/>
        </w:rPr>
        <w:lastRenderedPageBreak/>
        <w:t>and affirms the contents of the captioned Petition and the same may be read as part and parcel of the instant submissions. The Petitioner craves leave to make additional submissions in response to objections raised by the Stakeholder, should the need arise.</w:t>
      </w:r>
    </w:p>
    <w:p w:rsidR="00085279" w:rsidRDefault="00085279" w:rsidP="00085279"/>
    <w:p w:rsidR="00085279" w:rsidRDefault="00085279" w:rsidP="00085279">
      <w:pPr>
        <w:rPr>
          <w:b/>
          <w:i/>
          <w:lang w:val="en-US"/>
        </w:rPr>
      </w:pPr>
      <w:r>
        <w:t xml:space="preserve">The </w:t>
      </w:r>
      <w:r w:rsidR="000C736D">
        <w:t xml:space="preserve">para wise </w:t>
      </w:r>
      <w:r>
        <w:t>replies to the comments of the Stakeholder are being submitted below:</w:t>
      </w:r>
    </w:p>
    <w:p w:rsidR="00085279" w:rsidRPr="003C0305" w:rsidRDefault="00085279" w:rsidP="00085279">
      <w:pPr>
        <w:rPr>
          <w:b/>
          <w:i/>
          <w:lang w:val="en-US"/>
        </w:rPr>
      </w:pPr>
      <w:r w:rsidRPr="003B0CCD">
        <w:rPr>
          <w:b/>
          <w:lang w:val="en-US"/>
        </w:rPr>
        <w:t>Stakeholder’s comment:</w:t>
      </w:r>
      <w:r>
        <w:rPr>
          <w:b/>
          <w:i/>
          <w:lang w:val="en-US"/>
        </w:rPr>
        <w:t xml:space="preserve"> “1. That, the OPGC being a generating unit of the state &amp; Govt. of Odisha </w:t>
      </w:r>
      <w:r w:rsidR="008C4FA1">
        <w:rPr>
          <w:b/>
          <w:i/>
          <w:lang w:val="en-US"/>
        </w:rPr>
        <w:t>being the owner of 100% share of</w:t>
      </w:r>
      <w:r>
        <w:rPr>
          <w:b/>
          <w:i/>
          <w:lang w:val="en-US"/>
        </w:rPr>
        <w:t xml:space="preserve"> OPGC</w:t>
      </w:r>
      <w:r w:rsidR="008C4FA1">
        <w:rPr>
          <w:b/>
          <w:i/>
          <w:lang w:val="en-US"/>
        </w:rPr>
        <w:t xml:space="preserve">. The Hon’ble Commission should direct the OPGC authorities </w:t>
      </w:r>
      <w:r>
        <w:rPr>
          <w:b/>
          <w:i/>
          <w:lang w:val="en-US"/>
        </w:rPr>
        <w:t xml:space="preserve">to </w:t>
      </w:r>
      <w:r w:rsidR="008C4FA1">
        <w:rPr>
          <w:b/>
          <w:i/>
          <w:lang w:val="en-US"/>
        </w:rPr>
        <w:t xml:space="preserve">conduct the </w:t>
      </w:r>
      <w:r>
        <w:rPr>
          <w:b/>
          <w:i/>
          <w:lang w:val="en-US"/>
        </w:rPr>
        <w:t>audit through CAG”</w:t>
      </w:r>
    </w:p>
    <w:p w:rsidR="00085279" w:rsidRPr="00D607CE" w:rsidRDefault="00085279" w:rsidP="00085279">
      <w:r w:rsidRPr="002707B6">
        <w:rPr>
          <w:b/>
          <w:lang w:val="en-US"/>
        </w:rPr>
        <w:t>OPGC’s reply:</w:t>
      </w:r>
      <w:r>
        <w:rPr>
          <w:lang w:val="en-US"/>
        </w:rPr>
        <w:t>OPGC submits that it being a Gov</w:t>
      </w:r>
      <w:r w:rsidR="001E796D">
        <w:rPr>
          <w:lang w:val="en-US"/>
        </w:rPr>
        <w:t>ernmen</w:t>
      </w:r>
      <w:r>
        <w:rPr>
          <w:lang w:val="en-US"/>
        </w:rPr>
        <w:t xml:space="preserve">t Company, </w:t>
      </w:r>
      <w:r w:rsidR="002E0F86">
        <w:rPr>
          <w:lang w:val="en-US"/>
        </w:rPr>
        <w:t>t</w:t>
      </w:r>
      <w:r w:rsidR="002E0F86" w:rsidRPr="002E0F86">
        <w:rPr>
          <w:lang w:val="en-US"/>
        </w:rPr>
        <w:t xml:space="preserve">he accounts of </w:t>
      </w:r>
      <w:r w:rsidR="002E0F86">
        <w:rPr>
          <w:lang w:val="en-US"/>
        </w:rPr>
        <w:t>OPGC</w:t>
      </w:r>
      <w:r w:rsidR="002E0F86" w:rsidRPr="002E0F86">
        <w:rPr>
          <w:lang w:val="en-US"/>
        </w:rPr>
        <w:t xml:space="preserve"> are audited by the Comptroller and Auditor General of India (CAG) under the provisions of the Companies Act</w:t>
      </w:r>
      <w:r w:rsidR="002E0F86">
        <w:rPr>
          <w:lang w:val="en-US"/>
        </w:rPr>
        <w:t>.</w:t>
      </w:r>
      <w:r>
        <w:rPr>
          <w:lang w:val="en-US"/>
        </w:rPr>
        <w:t>.</w:t>
      </w:r>
    </w:p>
    <w:p w:rsidR="00085279" w:rsidRPr="003C0305" w:rsidRDefault="00085279" w:rsidP="00085279">
      <w:pPr>
        <w:rPr>
          <w:b/>
          <w:i/>
          <w:lang w:val="en-US"/>
        </w:rPr>
      </w:pPr>
      <w:r w:rsidRPr="003B0CCD">
        <w:rPr>
          <w:b/>
          <w:lang w:val="en-US"/>
        </w:rPr>
        <w:t>Stakeholder’s comment:</w:t>
      </w:r>
      <w:r>
        <w:rPr>
          <w:b/>
          <w:i/>
          <w:lang w:val="en-US"/>
        </w:rPr>
        <w:t xml:space="preserve"> “</w:t>
      </w:r>
      <w:r w:rsidR="008C4FA1">
        <w:rPr>
          <w:b/>
          <w:i/>
          <w:lang w:val="en-US"/>
        </w:rPr>
        <w:t>2</w:t>
      </w:r>
      <w:r>
        <w:rPr>
          <w:b/>
          <w:i/>
          <w:lang w:val="en-US"/>
        </w:rPr>
        <w:t>. That, the OPGC has proposed PLF reduction i.e., 81.46%, but in all the thermal Power Station of the State such as IPPs &amp; Central Sector NTPC are now generating more than 85 to 90% PLF. As such, the Hon’</w:t>
      </w:r>
      <w:r w:rsidR="008C4FA1">
        <w:rPr>
          <w:b/>
          <w:i/>
          <w:lang w:val="en-US"/>
        </w:rPr>
        <w:t>a</w:t>
      </w:r>
      <w:r>
        <w:rPr>
          <w:b/>
          <w:i/>
          <w:lang w:val="en-US"/>
        </w:rPr>
        <w:t>ble Commission should pass order directing OPGC to be functional with more than 85% PLF.”</w:t>
      </w:r>
    </w:p>
    <w:p w:rsidR="00085279" w:rsidRDefault="00085279" w:rsidP="00085279">
      <w:pPr>
        <w:rPr>
          <w:lang w:val="en-US"/>
        </w:rPr>
      </w:pPr>
      <w:r w:rsidRPr="002707B6">
        <w:rPr>
          <w:b/>
          <w:lang w:val="en-US"/>
        </w:rPr>
        <w:t>OPGC’s reply:</w:t>
      </w:r>
      <w:r w:rsidR="00A759EA">
        <w:rPr>
          <w:lang w:val="en-US"/>
        </w:rPr>
        <w:t xml:space="preserve">It is humbly submitted that OPGC has projected the PLF of 78.03% for FY 2021-22 and not 81.46% as stated by the stakeholder. </w:t>
      </w:r>
      <w:r>
        <w:rPr>
          <w:lang w:val="en-US"/>
        </w:rPr>
        <w:t xml:space="preserve">OPGC humbly submits that the actual PLF of the plant depends on scheduled maintenance outages and other operating conditions beyond the control of OPGC during a given year. Accordingly, the PLF varies from year to year. Even, OPGC in FY 2016-17 achieved PLF of 87.92% ranking first among the </w:t>
      </w:r>
      <w:r w:rsidR="00DF071A">
        <w:rPr>
          <w:lang w:val="en-US"/>
        </w:rPr>
        <w:t>thermal generating stations in S</w:t>
      </w:r>
      <w:r>
        <w:rPr>
          <w:lang w:val="en-US"/>
        </w:rPr>
        <w:t xml:space="preserve">tate sector. </w:t>
      </w:r>
      <w:r w:rsidRPr="001E796D">
        <w:rPr>
          <w:lang w:val="en-US"/>
        </w:rPr>
        <w:t>The target export of Power to GRI</w:t>
      </w:r>
      <w:r w:rsidR="001E796D">
        <w:rPr>
          <w:lang w:val="en-US"/>
        </w:rPr>
        <w:t>DCO for the FY 202</w:t>
      </w:r>
      <w:r w:rsidR="009D6B5A">
        <w:rPr>
          <w:lang w:val="en-US"/>
        </w:rPr>
        <w:t>2</w:t>
      </w:r>
      <w:r w:rsidR="001E796D">
        <w:rPr>
          <w:lang w:val="en-US"/>
        </w:rPr>
        <w:t>-2</w:t>
      </w:r>
      <w:r w:rsidR="009D6B5A">
        <w:rPr>
          <w:lang w:val="en-US"/>
        </w:rPr>
        <w:t>3</w:t>
      </w:r>
      <w:r w:rsidRPr="001E796D">
        <w:rPr>
          <w:lang w:val="en-US"/>
        </w:rPr>
        <w:t xml:space="preserve"> is </w:t>
      </w:r>
      <w:r w:rsidR="009D6B5A">
        <w:rPr>
          <w:lang w:val="en-US"/>
        </w:rPr>
        <w:t>2597.987</w:t>
      </w:r>
      <w:r w:rsidRPr="001E796D">
        <w:rPr>
          <w:lang w:val="en-US"/>
        </w:rPr>
        <w:t xml:space="preserve"> MU, which is equivalent to a PLF of </w:t>
      </w:r>
      <w:r w:rsidR="009D6B5A">
        <w:rPr>
          <w:lang w:val="en-US"/>
        </w:rPr>
        <w:t>78.03</w:t>
      </w:r>
      <w:r w:rsidRPr="001E796D">
        <w:rPr>
          <w:lang w:val="en-US"/>
        </w:rPr>
        <w:t xml:space="preserve">%.  </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3</w:t>
      </w:r>
      <w:r>
        <w:rPr>
          <w:b/>
          <w:i/>
          <w:lang w:val="en-US"/>
        </w:rPr>
        <w:t>. That, the OPGC in all of their ARR application before the OERC have mentioned their functioning as per the PPA signed between GRIDCO &amp; OPGC knowing full</w:t>
      </w:r>
      <w:r w:rsidR="007F48B0">
        <w:rPr>
          <w:b/>
          <w:i/>
          <w:lang w:val="en-US"/>
        </w:rPr>
        <w:t>y</w:t>
      </w:r>
      <w:r>
        <w:rPr>
          <w:b/>
          <w:i/>
          <w:lang w:val="en-US"/>
        </w:rPr>
        <w:t xml:space="preserve"> well PPA is </w:t>
      </w:r>
      <w:r w:rsidR="00F6122E">
        <w:rPr>
          <w:b/>
          <w:i/>
          <w:lang w:val="en-US"/>
        </w:rPr>
        <w:t xml:space="preserve">a </w:t>
      </w:r>
      <w:r>
        <w:rPr>
          <w:b/>
          <w:i/>
          <w:lang w:val="en-US"/>
        </w:rPr>
        <w:t>separate &amp; tariff hearing is separate matter.</w:t>
      </w:r>
      <w:r w:rsidR="00F6122E">
        <w:rPr>
          <w:b/>
          <w:i/>
          <w:lang w:val="en-US"/>
        </w:rPr>
        <w:t xml:space="preserve"> At present the Govt. is the owner of 100% share of OPGC, the calculation of PPA as per direction of the </w:t>
      </w:r>
      <w:r w:rsidR="007B2750">
        <w:rPr>
          <w:b/>
          <w:i/>
          <w:lang w:val="en-US"/>
        </w:rPr>
        <w:t>Hon’ble Supreme Court should be stopped</w:t>
      </w:r>
      <w:r>
        <w:rPr>
          <w:b/>
          <w:i/>
          <w:lang w:val="en-US"/>
        </w:rPr>
        <w:t>”</w:t>
      </w:r>
    </w:p>
    <w:p w:rsidR="00085279" w:rsidRDefault="00085279" w:rsidP="00085279">
      <w:r w:rsidRPr="002707B6">
        <w:rPr>
          <w:b/>
          <w:lang w:val="en-US"/>
        </w:rPr>
        <w:t>OPGC’s reply:</w:t>
      </w:r>
      <w:r>
        <w:rPr>
          <w:lang w:val="en-US"/>
        </w:rPr>
        <w:t xml:space="preserve"> OPGC humbly submits that the instant Petition for approval of Generation Tariff for FY </w:t>
      </w:r>
      <w:r w:rsidR="0024754A">
        <w:rPr>
          <w:lang w:val="en-US"/>
        </w:rPr>
        <w:t>2022</w:t>
      </w:r>
      <w:r>
        <w:rPr>
          <w:lang w:val="en-US"/>
        </w:rPr>
        <w:t>-</w:t>
      </w:r>
      <w:r w:rsidR="0024754A">
        <w:rPr>
          <w:lang w:val="en-US"/>
        </w:rPr>
        <w:t xml:space="preserve">23 </w:t>
      </w:r>
      <w:r>
        <w:rPr>
          <w:lang w:val="en-US"/>
        </w:rPr>
        <w:t xml:space="preserve">has been filed in accordance with the approved Amended PPA pursuant to the Hon’ble Supreme Court’s Order dated April 19, 2018 in Civil Appeal No. </w:t>
      </w:r>
      <w:r>
        <w:rPr>
          <w:lang w:val="en-US"/>
        </w:rPr>
        <w:lastRenderedPageBreak/>
        <w:t xml:space="preserve">9485 of 2017 and the Hon’ble Commission’s Orders dated March 28, </w:t>
      </w:r>
      <w:r w:rsidR="00DF071A">
        <w:rPr>
          <w:lang w:val="en-US"/>
        </w:rPr>
        <w:t xml:space="preserve">2019, </w:t>
      </w:r>
      <w:r>
        <w:rPr>
          <w:lang w:val="en-US"/>
        </w:rPr>
        <w:t>March 29, 2019</w:t>
      </w:r>
      <w:r w:rsidR="00F24D5B">
        <w:rPr>
          <w:lang w:val="en-US"/>
        </w:rPr>
        <w:t>,</w:t>
      </w:r>
      <w:r w:rsidR="00DF071A">
        <w:rPr>
          <w:lang w:val="en-US"/>
        </w:rPr>
        <w:t>April 22, 2020</w:t>
      </w:r>
      <w:r w:rsidR="0063591A">
        <w:rPr>
          <w:lang w:val="en-US"/>
        </w:rPr>
        <w:t>, March 26, 2021</w:t>
      </w:r>
      <w:r w:rsidR="00F24D5B">
        <w:rPr>
          <w:lang w:val="en-US"/>
        </w:rPr>
        <w:t xml:space="preserve"> and May 21, 2021</w:t>
      </w:r>
      <w:r>
        <w:rPr>
          <w:lang w:val="en-US"/>
        </w:rPr>
        <w:t xml:space="preserve">in Case Nos. 33 of </w:t>
      </w:r>
      <w:r w:rsidR="004C208A">
        <w:rPr>
          <w:lang w:val="en-US"/>
        </w:rPr>
        <w:t>2018,</w:t>
      </w:r>
      <w:r>
        <w:rPr>
          <w:lang w:val="en-US"/>
        </w:rPr>
        <w:t>70 of 2018</w:t>
      </w:r>
      <w:r w:rsidR="007F48B0">
        <w:rPr>
          <w:lang w:val="en-US"/>
        </w:rPr>
        <w:t>,</w:t>
      </w:r>
      <w:r w:rsidR="00DF071A">
        <w:rPr>
          <w:lang w:val="en-US"/>
        </w:rPr>
        <w:t xml:space="preserve"> 69 of 2019</w:t>
      </w:r>
      <w:r w:rsidR="0063591A">
        <w:rPr>
          <w:lang w:val="en-US"/>
        </w:rPr>
        <w:t>, 71 of 2020</w:t>
      </w:r>
      <w:r w:rsidR="00F24D5B">
        <w:rPr>
          <w:lang w:val="en-US"/>
        </w:rPr>
        <w:t xml:space="preserve"> and</w:t>
      </w:r>
      <w:r w:rsidR="0063591A">
        <w:rPr>
          <w:lang w:val="en-US"/>
        </w:rPr>
        <w:t xml:space="preserve"> 54 of 2018</w:t>
      </w:r>
      <w:r>
        <w:rPr>
          <w:lang w:val="en-US"/>
        </w:rPr>
        <w:t xml:space="preserve"> respectively.</w:t>
      </w:r>
      <w:r w:rsidR="00A759EA">
        <w:rPr>
          <w:lang w:val="en-US"/>
        </w:rPr>
        <w:t xml:space="preserve"> Irrespective of ownership of the Company, the basic principles of tariff determination cannot change and tariff needs to be determined as per the provisions of the PPA in compliance with the Hon’ble Supreme Court Judgment. Hence, the stakeholder’s statements for not complying with the Orders of the Supreme Court are </w:t>
      </w:r>
      <w:r w:rsidR="00A759EA" w:rsidRPr="00650170">
        <w:rPr>
          <w:lang w:val="en-US"/>
        </w:rPr>
        <w:t>unwarranted</w:t>
      </w:r>
      <w:r w:rsidR="00A759EA">
        <w:rPr>
          <w:lang w:val="en-US"/>
        </w:rPr>
        <w:t>.</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4</w:t>
      </w:r>
      <w:r>
        <w:rPr>
          <w:b/>
          <w:i/>
          <w:lang w:val="en-US"/>
        </w:rPr>
        <w:t xml:space="preserve">. That, the applicant OPGC have </w:t>
      </w:r>
      <w:r w:rsidR="007F69A2">
        <w:rPr>
          <w:b/>
          <w:i/>
          <w:lang w:val="en-US"/>
        </w:rPr>
        <w:t>proposed</w:t>
      </w:r>
      <w:r>
        <w:rPr>
          <w:b/>
          <w:i/>
          <w:lang w:val="en-US"/>
        </w:rPr>
        <w:t>9.5% auxiliary consumption whereas, the central thermal power station like NTPC are 5.5% auxiliary consumption.</w:t>
      </w:r>
      <w:r w:rsidR="007B2750">
        <w:rPr>
          <w:b/>
          <w:i/>
          <w:lang w:val="en-US"/>
        </w:rPr>
        <w:t xml:space="preserve"> As such, the auxiliary calculation should be made as per the regulation.</w:t>
      </w:r>
      <w:r>
        <w:rPr>
          <w:b/>
          <w:i/>
          <w:lang w:val="en-US"/>
        </w:rPr>
        <w:t>”</w:t>
      </w:r>
    </w:p>
    <w:p w:rsidR="00085279" w:rsidRPr="003C0305" w:rsidRDefault="00085279" w:rsidP="00085279">
      <w:pPr>
        <w:rPr>
          <w:b/>
          <w:i/>
          <w:lang w:val="en-US"/>
        </w:rPr>
      </w:pPr>
      <w:r w:rsidRPr="002707B6">
        <w:rPr>
          <w:b/>
          <w:lang w:val="en-US"/>
        </w:rPr>
        <w:t>OPGC’s reply:</w:t>
      </w:r>
      <w:r>
        <w:rPr>
          <w:lang w:val="en-US"/>
        </w:rPr>
        <w:t xml:space="preserve">The normative auxiliary consumption claimed by OPGC </w:t>
      </w:r>
      <w:r w:rsidR="00295330">
        <w:rPr>
          <w:lang w:val="en-US"/>
        </w:rPr>
        <w:t xml:space="preserve">of </w:t>
      </w:r>
      <w:r>
        <w:rPr>
          <w:lang w:val="en-US"/>
        </w:rPr>
        <w:t xml:space="preserve">9.5% </w:t>
      </w:r>
      <w:r w:rsidR="00295330">
        <w:rPr>
          <w:lang w:val="en-US"/>
        </w:rPr>
        <w:t xml:space="preserve">is </w:t>
      </w:r>
      <w:r>
        <w:rPr>
          <w:lang w:val="en-US"/>
        </w:rPr>
        <w:t>in accordance with the approved Amended PPA even though the actual auxiliary consumption has remained above 10% since COD of the station. The reference to auxiliary consumption of central generating stations is misplaced as they are governed by Tariff Regulations of the Hon’ble Central Electricity Regulatory Commission. Further, the auxiliary consumption of 5.5% mentioned is for super critical units with capacity of 660 MW and above</w:t>
      </w:r>
      <w:r w:rsidR="008C140C">
        <w:rPr>
          <w:lang w:val="en-US"/>
        </w:rPr>
        <w:t xml:space="preserve"> and</w:t>
      </w:r>
      <w:r>
        <w:rPr>
          <w:lang w:val="en-US"/>
        </w:rPr>
        <w:t xml:space="preserve"> not for Units with capacity of 210 MW.</w:t>
      </w:r>
      <w:r w:rsidR="00EC7DC9">
        <w:rPr>
          <w:lang w:val="en-US"/>
        </w:rPr>
        <w:t xml:space="preserve"> Moreover, the auxiliary consumption as per CERC Tariff Regulations, 2019, for 200 MW unit series with induced draft co</w:t>
      </w:r>
      <w:r w:rsidR="007678B7">
        <w:rPr>
          <w:lang w:val="en-US"/>
        </w:rPr>
        <w:t>o</w:t>
      </w:r>
      <w:r w:rsidR="00EC7DC9">
        <w:rPr>
          <w:lang w:val="en-US"/>
        </w:rPr>
        <w:t>ling towers is 9.0%.</w:t>
      </w:r>
      <w:r w:rsidRPr="003B0CCD">
        <w:rPr>
          <w:b/>
          <w:lang w:val="en-US"/>
        </w:rPr>
        <w:t>Stakeholder’s comment:</w:t>
      </w:r>
      <w:r>
        <w:rPr>
          <w:b/>
          <w:i/>
          <w:lang w:val="en-US"/>
        </w:rPr>
        <w:t xml:space="preserve"> “</w:t>
      </w:r>
      <w:r w:rsidR="007B2750">
        <w:rPr>
          <w:b/>
          <w:i/>
          <w:lang w:val="en-US"/>
        </w:rPr>
        <w:t>5</w:t>
      </w:r>
      <w:r>
        <w:rPr>
          <w:b/>
          <w:i/>
          <w:lang w:val="en-US"/>
        </w:rPr>
        <w:t xml:space="preserve">. That, the applicant OPGC may be directed to produce the no. of force outage &amp; reason for such outage </w:t>
      </w:r>
      <w:r w:rsidR="007B2750">
        <w:rPr>
          <w:b/>
          <w:i/>
          <w:lang w:val="en-US"/>
        </w:rPr>
        <w:t>from</w:t>
      </w:r>
      <w:r>
        <w:rPr>
          <w:b/>
          <w:i/>
          <w:lang w:val="en-US"/>
        </w:rPr>
        <w:t xml:space="preserve"> the </w:t>
      </w:r>
      <w:r w:rsidR="007B2750">
        <w:rPr>
          <w:b/>
          <w:i/>
          <w:lang w:val="en-US"/>
        </w:rPr>
        <w:t xml:space="preserve">year </w:t>
      </w:r>
      <w:r>
        <w:rPr>
          <w:b/>
          <w:i/>
          <w:lang w:val="en-US"/>
        </w:rPr>
        <w:t xml:space="preserve">FY 2016-17 </w:t>
      </w:r>
      <w:r w:rsidR="007B2750">
        <w:rPr>
          <w:b/>
          <w:i/>
          <w:lang w:val="en-US"/>
        </w:rPr>
        <w:t>till today.</w:t>
      </w:r>
      <w:r>
        <w:rPr>
          <w:b/>
          <w:i/>
          <w:lang w:val="en-US"/>
        </w:rPr>
        <w:t>”</w:t>
      </w:r>
    </w:p>
    <w:p w:rsidR="00085279" w:rsidRDefault="00085279" w:rsidP="00085279">
      <w:pPr>
        <w:rPr>
          <w:lang w:val="en-US"/>
        </w:rPr>
      </w:pPr>
      <w:r w:rsidRPr="002707B6">
        <w:rPr>
          <w:b/>
          <w:lang w:val="en-US"/>
        </w:rPr>
        <w:t>OPGC’s reply:</w:t>
      </w:r>
      <w:r w:rsidR="007678B7">
        <w:rPr>
          <w:b/>
          <w:lang w:val="en-US"/>
        </w:rPr>
        <w:t xml:space="preserve"> </w:t>
      </w:r>
      <w:r>
        <w:rPr>
          <w:lang w:val="en-US"/>
        </w:rPr>
        <w:t>OPGC humbly submits that the information sought by the stakeholder is not relevant for tariff determination and hence does not deserve any reply.</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6</w:t>
      </w:r>
      <w:r>
        <w:rPr>
          <w:b/>
          <w:i/>
          <w:lang w:val="en-US"/>
        </w:rPr>
        <w:t xml:space="preserve">. That, the OPGC has to submit the month wise cash flow statement showing sources of inflow &amp; outflow of cash from the FY 2010-11 to FY </w:t>
      </w:r>
      <w:r w:rsidR="00266233">
        <w:rPr>
          <w:b/>
          <w:i/>
          <w:lang w:val="en-US"/>
        </w:rPr>
        <w:t>2021</w:t>
      </w:r>
      <w:r>
        <w:rPr>
          <w:b/>
          <w:i/>
          <w:lang w:val="en-US"/>
        </w:rPr>
        <w:t>-</w:t>
      </w:r>
      <w:r w:rsidR="00266233">
        <w:rPr>
          <w:b/>
          <w:i/>
          <w:lang w:val="en-US"/>
        </w:rPr>
        <w:t>22</w:t>
      </w:r>
      <w:r>
        <w:rPr>
          <w:b/>
          <w:i/>
          <w:lang w:val="en-US"/>
        </w:rPr>
        <w:t>.”</w:t>
      </w:r>
    </w:p>
    <w:p w:rsidR="00085279" w:rsidRDefault="00085279" w:rsidP="00085279">
      <w:pPr>
        <w:rPr>
          <w:lang w:val="en-US"/>
        </w:rPr>
      </w:pPr>
      <w:r w:rsidRPr="002707B6">
        <w:rPr>
          <w:b/>
          <w:lang w:val="en-US"/>
        </w:rPr>
        <w:t>OPGC’s reply:</w:t>
      </w:r>
      <w:r>
        <w:rPr>
          <w:lang w:val="en-US"/>
        </w:rPr>
        <w:t xml:space="preserve"> OPGC submits that the audited </w:t>
      </w:r>
      <w:r w:rsidRPr="00EE4F13">
        <w:rPr>
          <w:lang w:val="en-US"/>
        </w:rPr>
        <w:t xml:space="preserve">annual </w:t>
      </w:r>
      <w:r>
        <w:rPr>
          <w:lang w:val="en-US"/>
        </w:rPr>
        <w:t xml:space="preserve">accounts for FY </w:t>
      </w:r>
      <w:r w:rsidR="00295330">
        <w:rPr>
          <w:lang w:val="en-US"/>
        </w:rPr>
        <w:t>2020</w:t>
      </w:r>
      <w:r>
        <w:rPr>
          <w:lang w:val="en-US"/>
        </w:rPr>
        <w:t>-</w:t>
      </w:r>
      <w:r w:rsidR="00295330">
        <w:rPr>
          <w:lang w:val="en-US"/>
        </w:rPr>
        <w:t xml:space="preserve">21 </w:t>
      </w:r>
      <w:r>
        <w:rPr>
          <w:lang w:val="en-US"/>
        </w:rPr>
        <w:t>have been submitted to the Hon’ble Commission along</w:t>
      </w:r>
      <w:r w:rsidR="007678B7">
        <w:rPr>
          <w:lang w:val="en-US"/>
        </w:rPr>
        <w:t xml:space="preserve"> </w:t>
      </w:r>
      <w:r>
        <w:rPr>
          <w:lang w:val="en-US"/>
        </w:rPr>
        <w:t xml:space="preserve">with the Tariff Petition on dated November </w:t>
      </w:r>
      <w:r w:rsidR="007F48B0">
        <w:rPr>
          <w:lang w:val="en-US"/>
        </w:rPr>
        <w:t>30</w:t>
      </w:r>
      <w:r>
        <w:rPr>
          <w:lang w:val="en-US"/>
        </w:rPr>
        <w:t xml:space="preserve">, </w:t>
      </w:r>
      <w:r w:rsidR="00295330">
        <w:rPr>
          <w:lang w:val="en-US"/>
        </w:rPr>
        <w:t xml:space="preserve">2021 </w:t>
      </w:r>
      <w:r>
        <w:rPr>
          <w:lang w:val="en-US"/>
        </w:rPr>
        <w:t xml:space="preserve">and the information sought by the stakeholder is not relevant for tariff determination. </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7</w:t>
      </w:r>
      <w:r>
        <w:rPr>
          <w:b/>
          <w:i/>
          <w:lang w:val="en-US"/>
        </w:rPr>
        <w:t>. That, the OPGC has to produce the detail action plan they have prepared for development of mini Hydro Projects under their disposal…”</w:t>
      </w:r>
    </w:p>
    <w:p w:rsidR="00085279" w:rsidRDefault="00085279" w:rsidP="00085279">
      <w:pPr>
        <w:rPr>
          <w:lang w:val="en-US"/>
        </w:rPr>
      </w:pPr>
      <w:r w:rsidRPr="002707B6">
        <w:rPr>
          <w:b/>
          <w:lang w:val="en-US"/>
        </w:rPr>
        <w:lastRenderedPageBreak/>
        <w:t>OPGC’s reply:</w:t>
      </w:r>
      <w:r w:rsidR="007678B7">
        <w:rPr>
          <w:b/>
          <w:lang w:val="en-US"/>
        </w:rPr>
        <w:t xml:space="preserve"> </w:t>
      </w:r>
      <w:r>
        <w:rPr>
          <w:lang w:val="en-US"/>
        </w:rPr>
        <w:t>OPGC submits that the information sought by the stakeholder is not relevant for tariff determination and hence does not deserve any reply.</w:t>
      </w:r>
    </w:p>
    <w:p w:rsidR="00085279" w:rsidRPr="003C0305" w:rsidRDefault="00085279" w:rsidP="00085279">
      <w:pPr>
        <w:rPr>
          <w:b/>
          <w:i/>
          <w:lang w:val="en-US"/>
        </w:rPr>
      </w:pPr>
      <w:r w:rsidRPr="003B0CCD">
        <w:rPr>
          <w:b/>
          <w:lang w:val="en-US"/>
        </w:rPr>
        <w:t>Stakeholder’s comment:</w:t>
      </w:r>
      <w:r>
        <w:rPr>
          <w:b/>
          <w:i/>
          <w:lang w:val="en-US"/>
        </w:rPr>
        <w:t xml:space="preserve"> “</w:t>
      </w:r>
      <w:r w:rsidR="007B2750">
        <w:rPr>
          <w:b/>
          <w:i/>
          <w:lang w:val="en-US"/>
        </w:rPr>
        <w:t>8</w:t>
      </w:r>
      <w:r>
        <w:rPr>
          <w:b/>
          <w:i/>
          <w:lang w:val="en-US"/>
        </w:rPr>
        <w:t>. That, the OPGC has to produce the no. of cases pending before different courts &amp; amount paid for legal expenses of the said cases from 2015-16, 2016-17, 2017-18, 2018-19</w:t>
      </w:r>
      <w:r w:rsidR="00266233">
        <w:rPr>
          <w:b/>
          <w:i/>
          <w:lang w:val="en-US"/>
        </w:rPr>
        <w:t>,</w:t>
      </w:r>
      <w:r>
        <w:rPr>
          <w:b/>
          <w:i/>
          <w:lang w:val="en-US"/>
        </w:rPr>
        <w:t xml:space="preserve"> 2019-20</w:t>
      </w:r>
      <w:r w:rsidR="007B2750">
        <w:rPr>
          <w:b/>
          <w:i/>
          <w:lang w:val="en-US"/>
        </w:rPr>
        <w:t>&amp;</w:t>
      </w:r>
      <w:r w:rsidR="00266233">
        <w:rPr>
          <w:b/>
          <w:i/>
          <w:lang w:val="en-US"/>
        </w:rPr>
        <w:t xml:space="preserve">2020-21 </w:t>
      </w:r>
      <w:r w:rsidR="007B2750">
        <w:rPr>
          <w:b/>
          <w:i/>
          <w:lang w:val="en-US"/>
        </w:rPr>
        <w:t>all the cases should be dropped considering the merit</w:t>
      </w:r>
      <w:r>
        <w:rPr>
          <w:b/>
          <w:i/>
          <w:lang w:val="en-US"/>
        </w:rPr>
        <w:t>.”</w:t>
      </w:r>
    </w:p>
    <w:p w:rsidR="00085279" w:rsidRDefault="00085279" w:rsidP="00085279">
      <w:pPr>
        <w:rPr>
          <w:b/>
          <w:lang w:val="en-US"/>
        </w:rPr>
      </w:pPr>
      <w:r w:rsidRPr="002707B6">
        <w:rPr>
          <w:b/>
          <w:lang w:val="en-US"/>
        </w:rPr>
        <w:t>OPGC’s reply:</w:t>
      </w:r>
      <w:r w:rsidR="007678B7">
        <w:rPr>
          <w:b/>
          <w:lang w:val="en-US"/>
        </w:rPr>
        <w:t xml:space="preserve"> </w:t>
      </w:r>
      <w:r w:rsidRPr="00AC7AAA">
        <w:rPr>
          <w:lang w:val="en-US"/>
        </w:rPr>
        <w:t>OPGC submits that t</w:t>
      </w:r>
      <w:r>
        <w:rPr>
          <w:lang w:val="en-US"/>
        </w:rPr>
        <w:t xml:space="preserve">he information sought by the stakeholder is not relevant as Petitioner has not sought any compensation for legal </w:t>
      </w:r>
      <w:r w:rsidR="007F69A2">
        <w:rPr>
          <w:lang w:val="en-US"/>
        </w:rPr>
        <w:t>expenses s</w:t>
      </w:r>
      <w:r>
        <w:rPr>
          <w:lang w:val="en-US"/>
        </w:rPr>
        <w:t xml:space="preserve">eparately. </w:t>
      </w:r>
    </w:p>
    <w:p w:rsidR="00085279" w:rsidRDefault="00085279" w:rsidP="00085279">
      <w:pPr>
        <w:rPr>
          <w:lang w:val="en-US"/>
        </w:rPr>
      </w:pPr>
    </w:p>
    <w:p w:rsidR="00085279" w:rsidRDefault="00085279" w:rsidP="00085279">
      <w:pPr>
        <w:spacing w:after="0" w:line="240" w:lineRule="auto"/>
        <w:jc w:val="right"/>
        <w:rPr>
          <w:szCs w:val="24"/>
        </w:rPr>
      </w:pPr>
      <w:r>
        <w:rPr>
          <w:szCs w:val="24"/>
        </w:rPr>
        <w:t>Deponent</w:t>
      </w:r>
    </w:p>
    <w:p w:rsidR="00085279" w:rsidRDefault="00085279" w:rsidP="00085279">
      <w:pPr>
        <w:spacing w:after="0" w:line="240" w:lineRule="auto"/>
        <w:rPr>
          <w:b/>
          <w:szCs w:val="24"/>
        </w:rPr>
      </w:pPr>
    </w:p>
    <w:p w:rsidR="00085279" w:rsidRDefault="00085279" w:rsidP="00085279">
      <w:pPr>
        <w:spacing w:after="0" w:line="240" w:lineRule="auto"/>
        <w:rPr>
          <w:b/>
          <w:szCs w:val="24"/>
        </w:rPr>
      </w:pPr>
    </w:p>
    <w:p w:rsidR="00085279" w:rsidRPr="003F2726" w:rsidRDefault="00085279" w:rsidP="00085279">
      <w:pPr>
        <w:spacing w:after="0" w:line="240" w:lineRule="auto"/>
        <w:rPr>
          <w:szCs w:val="24"/>
        </w:rPr>
      </w:pPr>
      <w:r w:rsidRPr="003F2726">
        <w:rPr>
          <w:szCs w:val="24"/>
        </w:rPr>
        <w:t>Bhubaneswar</w:t>
      </w:r>
    </w:p>
    <w:p w:rsidR="00085279" w:rsidRPr="0076151E" w:rsidRDefault="00085279" w:rsidP="00085279">
      <w:pPr>
        <w:rPr>
          <w:lang w:val="en-US"/>
        </w:rPr>
      </w:pPr>
      <w:r>
        <w:rPr>
          <w:szCs w:val="24"/>
        </w:rPr>
        <w:t xml:space="preserve">January </w:t>
      </w:r>
      <w:r w:rsidR="007F48B0">
        <w:rPr>
          <w:szCs w:val="24"/>
        </w:rPr>
        <w:t>27</w:t>
      </w:r>
      <w:r w:rsidRPr="003F2726">
        <w:rPr>
          <w:szCs w:val="24"/>
        </w:rPr>
        <w:t>, 20</w:t>
      </w:r>
      <w:r>
        <w:rPr>
          <w:szCs w:val="24"/>
        </w:rPr>
        <w:t>2</w:t>
      </w:r>
      <w:r w:rsidR="00EC7DC9">
        <w:rPr>
          <w:szCs w:val="24"/>
        </w:rPr>
        <w:t>2</w:t>
      </w:r>
    </w:p>
    <w:sectPr w:rsidR="00085279" w:rsidRPr="0076151E" w:rsidSect="003E0457">
      <w:footerReference w:type="default" r:id="rId7"/>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9BA" w:rsidRDefault="003619BA">
      <w:pPr>
        <w:spacing w:after="0" w:line="240" w:lineRule="auto"/>
      </w:pPr>
      <w:r>
        <w:separator/>
      </w:r>
    </w:p>
  </w:endnote>
  <w:endnote w:type="continuationSeparator" w:id="1">
    <w:p w:rsidR="003619BA" w:rsidRDefault="003619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C5" w:rsidRDefault="00FC1F57">
    <w:pPr>
      <w:pStyle w:val="Footer"/>
      <w:jc w:val="right"/>
    </w:pPr>
    <w:r>
      <w:t xml:space="preserve">Page </w:t>
    </w:r>
    <w:r w:rsidR="005815CE">
      <w:fldChar w:fldCharType="begin"/>
    </w:r>
    <w:r>
      <w:instrText xml:space="preserve"> PAGE   \* MERGEFORMAT </w:instrText>
    </w:r>
    <w:r w:rsidR="005815CE">
      <w:fldChar w:fldCharType="separate"/>
    </w:r>
    <w:r w:rsidR="00CF2E50">
      <w:rPr>
        <w:noProof/>
      </w:rPr>
      <w:t>3</w:t>
    </w:r>
    <w:r w:rsidR="005815CE">
      <w:rPr>
        <w:noProof/>
      </w:rPr>
      <w:fldChar w:fldCharType="end"/>
    </w:r>
  </w:p>
  <w:p w:rsidR="000D1B9D" w:rsidRDefault="003619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9BA" w:rsidRDefault="003619BA">
      <w:pPr>
        <w:spacing w:after="0" w:line="240" w:lineRule="auto"/>
      </w:pPr>
      <w:r>
        <w:separator/>
      </w:r>
    </w:p>
  </w:footnote>
  <w:footnote w:type="continuationSeparator" w:id="1">
    <w:p w:rsidR="003619BA" w:rsidRDefault="003619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E66BC7"/>
    <w:multiLevelType w:val="multilevel"/>
    <w:tmpl w:val="0CAEB02E"/>
    <w:lvl w:ilvl="0">
      <w:start w:val="1"/>
      <w:numFmt w:val="decimal"/>
      <w:lvlText w:val="A%1."/>
      <w:lvlJc w:val="left"/>
      <w:pPr>
        <w:ind w:left="432" w:hanging="432"/>
      </w:pPr>
      <w:rPr>
        <w:rFonts w:hint="default"/>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535A6C0A"/>
    <w:multiLevelType w:val="multilevel"/>
    <w:tmpl w:val="9D766268"/>
    <w:lvl w:ilvl="0">
      <w:start w:val="1"/>
      <w:numFmt w:val="decimal"/>
      <w:pStyle w:val="Heading1"/>
      <w:lvlText w:val="%1"/>
      <w:lvlJc w:val="left"/>
      <w:pPr>
        <w:ind w:left="432" w:hanging="432"/>
      </w:pPr>
    </w:lvl>
    <w:lvl w:ilvl="1">
      <w:start w:val="1"/>
      <w:numFmt w:val="decimal"/>
      <w:pStyle w:val="Heading2"/>
      <w:lvlText w:val="%1.%2"/>
      <w:lvlJc w:val="left"/>
      <w:pPr>
        <w:ind w:left="6530"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panda">
    <w15:presenceInfo w15:providerId="Windows Live" w15:userId="7690d929f195ee1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footnotePr>
    <w:footnote w:id="0"/>
    <w:footnote w:id="1"/>
  </w:footnotePr>
  <w:endnotePr>
    <w:endnote w:id="0"/>
    <w:endnote w:id="1"/>
  </w:endnotePr>
  <w:compat/>
  <w:rsids>
    <w:rsidRoot w:val="00E23FB3"/>
    <w:rsid w:val="000538A5"/>
    <w:rsid w:val="000722A3"/>
    <w:rsid w:val="00085279"/>
    <w:rsid w:val="000C736D"/>
    <w:rsid w:val="00125501"/>
    <w:rsid w:val="001E796D"/>
    <w:rsid w:val="0024754A"/>
    <w:rsid w:val="00266233"/>
    <w:rsid w:val="00295330"/>
    <w:rsid w:val="002E0F86"/>
    <w:rsid w:val="003619BA"/>
    <w:rsid w:val="00372A9B"/>
    <w:rsid w:val="00416BA4"/>
    <w:rsid w:val="00432FA8"/>
    <w:rsid w:val="004C208A"/>
    <w:rsid w:val="004F3D18"/>
    <w:rsid w:val="004F66ED"/>
    <w:rsid w:val="00553C05"/>
    <w:rsid w:val="005815CE"/>
    <w:rsid w:val="00592B60"/>
    <w:rsid w:val="0063591A"/>
    <w:rsid w:val="006572DE"/>
    <w:rsid w:val="006E3268"/>
    <w:rsid w:val="006F52C9"/>
    <w:rsid w:val="007678B7"/>
    <w:rsid w:val="00782BE6"/>
    <w:rsid w:val="007B2750"/>
    <w:rsid w:val="007F48B0"/>
    <w:rsid w:val="007F69A2"/>
    <w:rsid w:val="008005D9"/>
    <w:rsid w:val="00821A80"/>
    <w:rsid w:val="008247F5"/>
    <w:rsid w:val="008C140C"/>
    <w:rsid w:val="008C4FA1"/>
    <w:rsid w:val="00923CCD"/>
    <w:rsid w:val="009D6B5A"/>
    <w:rsid w:val="00A32AE6"/>
    <w:rsid w:val="00A759EA"/>
    <w:rsid w:val="00AB3F63"/>
    <w:rsid w:val="00AC51F1"/>
    <w:rsid w:val="00AF392C"/>
    <w:rsid w:val="00B242BC"/>
    <w:rsid w:val="00C35CEE"/>
    <w:rsid w:val="00CF2E50"/>
    <w:rsid w:val="00DF071A"/>
    <w:rsid w:val="00E23FB3"/>
    <w:rsid w:val="00E92E57"/>
    <w:rsid w:val="00EC7DC9"/>
    <w:rsid w:val="00F24D5B"/>
    <w:rsid w:val="00F30BB4"/>
    <w:rsid w:val="00F6122E"/>
    <w:rsid w:val="00FC1F57"/>
    <w:rsid w:val="00FD32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279"/>
    <w:pPr>
      <w:spacing w:after="200" w:line="360" w:lineRule="auto"/>
      <w:jc w:val="both"/>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085279"/>
    <w:pPr>
      <w:keepNext/>
      <w:numPr>
        <w:numId w:val="1"/>
      </w:numPr>
      <w:pBdr>
        <w:bottom w:val="single" w:sz="4" w:space="1" w:color="auto"/>
      </w:pBdr>
      <w:spacing w:before="240" w:after="60" w:line="240" w:lineRule="auto"/>
      <w:outlineLvl w:val="0"/>
    </w:pPr>
    <w:rPr>
      <w:rFonts w:eastAsia="Times New Roman"/>
      <w:b/>
      <w:bCs/>
      <w:kern w:val="32"/>
      <w:sz w:val="28"/>
      <w:szCs w:val="32"/>
      <w:lang w:val="en-GB"/>
    </w:rPr>
  </w:style>
  <w:style w:type="paragraph" w:styleId="Heading2">
    <w:name w:val="heading 2"/>
    <w:basedOn w:val="Normal"/>
    <w:next w:val="Normal"/>
    <w:link w:val="Heading2Char"/>
    <w:uiPriority w:val="9"/>
    <w:unhideWhenUsed/>
    <w:qFormat/>
    <w:rsid w:val="00085279"/>
    <w:pPr>
      <w:keepNext/>
      <w:numPr>
        <w:ilvl w:val="1"/>
        <w:numId w:val="1"/>
      </w:numPr>
      <w:spacing w:after="0"/>
      <w:ind w:left="578" w:hanging="578"/>
      <w:outlineLvl w:val="1"/>
    </w:pPr>
    <w:rPr>
      <w:rFonts w:eastAsia="Times New Roman"/>
      <w:bCs/>
      <w:iCs/>
      <w:szCs w:val="28"/>
      <w:lang w:val="en-GB"/>
    </w:rPr>
  </w:style>
  <w:style w:type="paragraph" w:styleId="Heading3">
    <w:name w:val="heading 3"/>
    <w:basedOn w:val="Normal"/>
    <w:next w:val="Normal"/>
    <w:link w:val="Heading3Char"/>
    <w:uiPriority w:val="9"/>
    <w:unhideWhenUsed/>
    <w:qFormat/>
    <w:rsid w:val="00085279"/>
    <w:pPr>
      <w:keepNext/>
      <w:numPr>
        <w:ilvl w:val="2"/>
        <w:numId w:val="1"/>
      </w:numPr>
      <w:spacing w:before="240" w:after="60"/>
      <w:outlineLvl w:val="2"/>
    </w:pPr>
    <w:rPr>
      <w:rFonts w:ascii="Book Antiqua" w:eastAsia="Times New Roman" w:hAnsi="Book Antiqua"/>
      <w:bCs/>
      <w:szCs w:val="26"/>
      <w:lang w:val="en-GB"/>
    </w:rPr>
  </w:style>
  <w:style w:type="paragraph" w:styleId="Heading4">
    <w:name w:val="heading 4"/>
    <w:basedOn w:val="Heading2"/>
    <w:next w:val="Normal"/>
    <w:link w:val="Heading4Char"/>
    <w:uiPriority w:val="9"/>
    <w:unhideWhenUsed/>
    <w:qFormat/>
    <w:rsid w:val="00085279"/>
    <w:pPr>
      <w:numPr>
        <w:ilvl w:val="3"/>
      </w:numPr>
      <w:outlineLvl w:val="3"/>
    </w:pPr>
  </w:style>
  <w:style w:type="paragraph" w:styleId="Heading5">
    <w:name w:val="heading 5"/>
    <w:basedOn w:val="Normal"/>
    <w:next w:val="Normal"/>
    <w:link w:val="Heading5Char"/>
    <w:uiPriority w:val="9"/>
    <w:unhideWhenUsed/>
    <w:qFormat/>
    <w:rsid w:val="00085279"/>
    <w:pPr>
      <w:keepNext/>
      <w:keepLines/>
      <w:numPr>
        <w:ilvl w:val="4"/>
        <w:numId w:val="1"/>
      </w:numPr>
      <w:spacing w:before="200" w:after="0"/>
      <w:outlineLvl w:val="4"/>
    </w:pPr>
    <w:rPr>
      <w:rFonts w:ascii="Cambria" w:eastAsia="Times New Roman" w:hAnsi="Cambria"/>
      <w:color w:val="243F60"/>
      <w:szCs w:val="20"/>
      <w:lang w:val="en-US"/>
    </w:rPr>
  </w:style>
  <w:style w:type="paragraph" w:styleId="Heading6">
    <w:name w:val="heading 6"/>
    <w:basedOn w:val="Normal"/>
    <w:next w:val="Normal"/>
    <w:link w:val="Heading6Char"/>
    <w:uiPriority w:val="9"/>
    <w:unhideWhenUsed/>
    <w:qFormat/>
    <w:rsid w:val="00085279"/>
    <w:pPr>
      <w:keepNext/>
      <w:keepLines/>
      <w:numPr>
        <w:ilvl w:val="5"/>
        <w:numId w:val="1"/>
      </w:numPr>
      <w:spacing w:before="200" w:after="0"/>
      <w:outlineLvl w:val="5"/>
    </w:pPr>
    <w:rPr>
      <w:rFonts w:ascii="Cambria" w:eastAsia="Times New Roman" w:hAnsi="Cambria"/>
      <w:i/>
      <w:iCs/>
      <w:color w:val="243F60"/>
      <w:szCs w:val="20"/>
      <w:lang w:val="en-US"/>
    </w:rPr>
  </w:style>
  <w:style w:type="paragraph" w:styleId="Heading7">
    <w:name w:val="heading 7"/>
    <w:basedOn w:val="Normal"/>
    <w:next w:val="Normal"/>
    <w:link w:val="Heading7Char"/>
    <w:uiPriority w:val="9"/>
    <w:semiHidden/>
    <w:unhideWhenUsed/>
    <w:qFormat/>
    <w:rsid w:val="00085279"/>
    <w:pPr>
      <w:keepNext/>
      <w:keepLines/>
      <w:numPr>
        <w:ilvl w:val="6"/>
        <w:numId w:val="1"/>
      </w:numPr>
      <w:spacing w:before="200" w:after="0"/>
      <w:outlineLvl w:val="6"/>
    </w:pPr>
    <w:rPr>
      <w:rFonts w:ascii="Cambria" w:eastAsia="Times New Roman" w:hAnsi="Cambria"/>
      <w:i/>
      <w:iCs/>
      <w:color w:val="404040"/>
      <w:szCs w:val="20"/>
      <w:lang w:val="en-US"/>
    </w:rPr>
  </w:style>
  <w:style w:type="paragraph" w:styleId="Heading8">
    <w:name w:val="heading 8"/>
    <w:basedOn w:val="Normal"/>
    <w:next w:val="Normal"/>
    <w:link w:val="Heading8Char"/>
    <w:uiPriority w:val="9"/>
    <w:semiHidden/>
    <w:unhideWhenUsed/>
    <w:qFormat/>
    <w:rsid w:val="00085279"/>
    <w:pPr>
      <w:keepNext/>
      <w:keepLines/>
      <w:numPr>
        <w:ilvl w:val="7"/>
        <w:numId w:val="1"/>
      </w:numPr>
      <w:spacing w:before="200" w:after="0"/>
      <w:outlineLvl w:val="7"/>
    </w:pPr>
    <w:rPr>
      <w:rFonts w:ascii="Cambria" w:eastAsia="Times New Roman" w:hAnsi="Cambria"/>
      <w:color w:val="404040"/>
      <w:sz w:val="20"/>
      <w:szCs w:val="20"/>
      <w:lang w:val="en-US"/>
    </w:rPr>
  </w:style>
  <w:style w:type="paragraph" w:styleId="Heading9">
    <w:name w:val="heading 9"/>
    <w:basedOn w:val="Normal"/>
    <w:next w:val="Normal"/>
    <w:link w:val="Heading9Char"/>
    <w:uiPriority w:val="9"/>
    <w:semiHidden/>
    <w:unhideWhenUsed/>
    <w:qFormat/>
    <w:rsid w:val="00085279"/>
    <w:pPr>
      <w:keepNext/>
      <w:numPr>
        <w:ilvl w:val="8"/>
        <w:numId w:val="1"/>
      </w:numPr>
      <w:shd w:val="pct25" w:color="auto" w:fill="auto"/>
      <w:spacing w:after="0"/>
      <w:outlineLvl w:val="8"/>
    </w:pPr>
    <w:rPr>
      <w:rFonts w:ascii="Book Antiqua" w:eastAsia="Times New Roman" w:hAnsi="Book Antiqua"/>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279"/>
    <w:rPr>
      <w:rFonts w:ascii="Times New Roman" w:eastAsia="Times New Roman" w:hAnsi="Times New Roman" w:cs="Times New Roman"/>
      <w:b/>
      <w:bCs/>
      <w:kern w:val="32"/>
      <w:sz w:val="28"/>
      <w:szCs w:val="32"/>
      <w:lang w:val="en-GB"/>
    </w:rPr>
  </w:style>
  <w:style w:type="character" w:customStyle="1" w:styleId="Heading2Char">
    <w:name w:val="Heading 2 Char"/>
    <w:basedOn w:val="DefaultParagraphFont"/>
    <w:link w:val="Heading2"/>
    <w:uiPriority w:val="9"/>
    <w:rsid w:val="00085279"/>
    <w:rPr>
      <w:rFonts w:ascii="Times New Roman" w:eastAsia="Times New Roman" w:hAnsi="Times New Roman" w:cs="Times New Roman"/>
      <w:bCs/>
      <w:iCs/>
      <w:sz w:val="24"/>
      <w:szCs w:val="28"/>
      <w:lang w:val="en-GB"/>
    </w:rPr>
  </w:style>
  <w:style w:type="character" w:customStyle="1" w:styleId="Heading3Char">
    <w:name w:val="Heading 3 Char"/>
    <w:basedOn w:val="DefaultParagraphFont"/>
    <w:link w:val="Heading3"/>
    <w:uiPriority w:val="9"/>
    <w:rsid w:val="00085279"/>
    <w:rPr>
      <w:rFonts w:ascii="Book Antiqua" w:eastAsia="Times New Roman" w:hAnsi="Book Antiqua" w:cs="Times New Roman"/>
      <w:bCs/>
      <w:sz w:val="24"/>
      <w:szCs w:val="26"/>
      <w:lang w:val="en-GB"/>
    </w:rPr>
  </w:style>
  <w:style w:type="character" w:customStyle="1" w:styleId="Heading4Char">
    <w:name w:val="Heading 4 Char"/>
    <w:basedOn w:val="DefaultParagraphFont"/>
    <w:link w:val="Heading4"/>
    <w:uiPriority w:val="9"/>
    <w:rsid w:val="00085279"/>
    <w:rPr>
      <w:rFonts w:ascii="Times New Roman" w:eastAsia="Times New Roman" w:hAnsi="Times New Roman" w:cs="Times New Roman"/>
      <w:bCs/>
      <w:iCs/>
      <w:sz w:val="24"/>
      <w:szCs w:val="28"/>
      <w:lang w:val="en-GB"/>
    </w:rPr>
  </w:style>
  <w:style w:type="character" w:customStyle="1" w:styleId="Heading5Char">
    <w:name w:val="Heading 5 Char"/>
    <w:basedOn w:val="DefaultParagraphFont"/>
    <w:link w:val="Heading5"/>
    <w:uiPriority w:val="9"/>
    <w:rsid w:val="00085279"/>
    <w:rPr>
      <w:rFonts w:ascii="Cambria" w:eastAsia="Times New Roman" w:hAnsi="Cambria" w:cs="Times New Roman"/>
      <w:color w:val="243F60"/>
      <w:sz w:val="24"/>
      <w:szCs w:val="20"/>
      <w:lang w:val="en-US"/>
    </w:rPr>
  </w:style>
  <w:style w:type="character" w:customStyle="1" w:styleId="Heading6Char">
    <w:name w:val="Heading 6 Char"/>
    <w:basedOn w:val="DefaultParagraphFont"/>
    <w:link w:val="Heading6"/>
    <w:uiPriority w:val="9"/>
    <w:rsid w:val="00085279"/>
    <w:rPr>
      <w:rFonts w:ascii="Cambria" w:eastAsia="Times New Roman" w:hAnsi="Cambria" w:cs="Times New Roman"/>
      <w:i/>
      <w:iCs/>
      <w:color w:val="243F60"/>
      <w:sz w:val="24"/>
      <w:szCs w:val="20"/>
      <w:lang w:val="en-US"/>
    </w:rPr>
  </w:style>
  <w:style w:type="character" w:customStyle="1" w:styleId="Heading7Char">
    <w:name w:val="Heading 7 Char"/>
    <w:basedOn w:val="DefaultParagraphFont"/>
    <w:link w:val="Heading7"/>
    <w:uiPriority w:val="9"/>
    <w:semiHidden/>
    <w:rsid w:val="00085279"/>
    <w:rPr>
      <w:rFonts w:ascii="Cambria" w:eastAsia="Times New Roman" w:hAnsi="Cambria" w:cs="Times New Roman"/>
      <w:i/>
      <w:iCs/>
      <w:color w:val="404040"/>
      <w:sz w:val="24"/>
      <w:szCs w:val="20"/>
      <w:lang w:val="en-US"/>
    </w:rPr>
  </w:style>
  <w:style w:type="character" w:customStyle="1" w:styleId="Heading8Char">
    <w:name w:val="Heading 8 Char"/>
    <w:basedOn w:val="DefaultParagraphFont"/>
    <w:link w:val="Heading8"/>
    <w:uiPriority w:val="9"/>
    <w:semiHidden/>
    <w:rsid w:val="00085279"/>
    <w:rPr>
      <w:rFonts w:ascii="Cambria" w:eastAsia="Times New Roman" w:hAnsi="Cambria" w:cs="Times New Roman"/>
      <w:color w:val="404040"/>
      <w:sz w:val="20"/>
      <w:szCs w:val="20"/>
      <w:lang w:val="en-US"/>
    </w:rPr>
  </w:style>
  <w:style w:type="character" w:customStyle="1" w:styleId="Heading9Char">
    <w:name w:val="Heading 9 Char"/>
    <w:basedOn w:val="DefaultParagraphFont"/>
    <w:link w:val="Heading9"/>
    <w:uiPriority w:val="9"/>
    <w:semiHidden/>
    <w:rsid w:val="00085279"/>
    <w:rPr>
      <w:rFonts w:ascii="Book Antiqua" w:eastAsia="Times New Roman" w:hAnsi="Book Antiqua" w:cs="Times New Roman"/>
      <w:b/>
      <w:bCs/>
      <w:sz w:val="20"/>
      <w:szCs w:val="20"/>
      <w:shd w:val="pct25" w:color="auto" w:fill="auto"/>
      <w:lang w:val="en-GB"/>
    </w:rPr>
  </w:style>
  <w:style w:type="paragraph" w:styleId="ListParagraph">
    <w:name w:val="List Paragraph"/>
    <w:basedOn w:val="Heading4"/>
    <w:link w:val="ListParagraphChar"/>
    <w:uiPriority w:val="34"/>
    <w:qFormat/>
    <w:rsid w:val="00085279"/>
  </w:style>
  <w:style w:type="paragraph" w:customStyle="1" w:styleId="Verbatium">
    <w:name w:val="Verbatium"/>
    <w:basedOn w:val="ListParagraph"/>
    <w:link w:val="VerbatiumChar"/>
    <w:qFormat/>
    <w:rsid w:val="00085279"/>
    <w:pPr>
      <w:numPr>
        <w:ilvl w:val="0"/>
        <w:numId w:val="0"/>
      </w:numPr>
      <w:ind w:left="1440"/>
    </w:pPr>
    <w:rPr>
      <w:i/>
      <w:sz w:val="23"/>
      <w:szCs w:val="23"/>
      <w:lang w:val="en-US"/>
    </w:rPr>
  </w:style>
  <w:style w:type="character" w:customStyle="1" w:styleId="ListParagraphChar">
    <w:name w:val="List Paragraph Char"/>
    <w:link w:val="ListParagraph"/>
    <w:uiPriority w:val="34"/>
    <w:rsid w:val="00085279"/>
    <w:rPr>
      <w:rFonts w:ascii="Times New Roman" w:eastAsia="Times New Roman" w:hAnsi="Times New Roman" w:cs="Times New Roman"/>
      <w:bCs/>
      <w:iCs/>
      <w:sz w:val="24"/>
      <w:szCs w:val="28"/>
      <w:lang w:val="en-GB"/>
    </w:rPr>
  </w:style>
  <w:style w:type="character" w:customStyle="1" w:styleId="VerbatiumChar">
    <w:name w:val="Verbatium Char"/>
    <w:link w:val="Verbatium"/>
    <w:rsid w:val="00085279"/>
    <w:rPr>
      <w:rFonts w:ascii="Times New Roman" w:eastAsia="Times New Roman" w:hAnsi="Times New Roman" w:cs="Times New Roman"/>
      <w:bCs/>
      <w:i/>
      <w:iCs/>
      <w:sz w:val="23"/>
      <w:szCs w:val="23"/>
      <w:lang w:val="en-US"/>
    </w:rPr>
  </w:style>
  <w:style w:type="paragraph" w:styleId="Footer">
    <w:name w:val="footer"/>
    <w:basedOn w:val="Normal"/>
    <w:link w:val="FooterChar"/>
    <w:uiPriority w:val="99"/>
    <w:unhideWhenUsed/>
    <w:rsid w:val="00085279"/>
    <w:pPr>
      <w:tabs>
        <w:tab w:val="center" w:pos="4513"/>
        <w:tab w:val="right" w:pos="9026"/>
      </w:tabs>
      <w:spacing w:after="0" w:line="240" w:lineRule="auto"/>
    </w:pPr>
    <w:rPr>
      <w:szCs w:val="20"/>
    </w:rPr>
  </w:style>
  <w:style w:type="character" w:customStyle="1" w:styleId="FooterChar">
    <w:name w:val="Footer Char"/>
    <w:basedOn w:val="DefaultParagraphFont"/>
    <w:link w:val="Footer"/>
    <w:uiPriority w:val="99"/>
    <w:rsid w:val="00085279"/>
    <w:rPr>
      <w:rFonts w:ascii="Times New Roman" w:eastAsia="Calibri" w:hAnsi="Times New Roman" w:cs="Times New Roman"/>
      <w:sz w:val="24"/>
      <w:szCs w:val="20"/>
    </w:rPr>
  </w:style>
  <w:style w:type="character" w:styleId="CommentReference">
    <w:name w:val="annotation reference"/>
    <w:basedOn w:val="DefaultParagraphFont"/>
    <w:uiPriority w:val="99"/>
    <w:semiHidden/>
    <w:unhideWhenUsed/>
    <w:rsid w:val="000722A3"/>
    <w:rPr>
      <w:sz w:val="16"/>
      <w:szCs w:val="16"/>
    </w:rPr>
  </w:style>
  <w:style w:type="paragraph" w:styleId="CommentText">
    <w:name w:val="annotation text"/>
    <w:basedOn w:val="Normal"/>
    <w:link w:val="CommentTextChar"/>
    <w:uiPriority w:val="99"/>
    <w:semiHidden/>
    <w:unhideWhenUsed/>
    <w:rsid w:val="000722A3"/>
    <w:pPr>
      <w:spacing w:line="240" w:lineRule="auto"/>
    </w:pPr>
    <w:rPr>
      <w:sz w:val="20"/>
      <w:szCs w:val="20"/>
    </w:rPr>
  </w:style>
  <w:style w:type="character" w:customStyle="1" w:styleId="CommentTextChar">
    <w:name w:val="Comment Text Char"/>
    <w:basedOn w:val="DefaultParagraphFont"/>
    <w:link w:val="CommentText"/>
    <w:uiPriority w:val="99"/>
    <w:semiHidden/>
    <w:rsid w:val="000722A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22A3"/>
    <w:rPr>
      <w:b/>
      <w:bCs/>
    </w:rPr>
  </w:style>
  <w:style w:type="character" w:customStyle="1" w:styleId="CommentSubjectChar">
    <w:name w:val="Comment Subject Char"/>
    <w:basedOn w:val="CommentTextChar"/>
    <w:link w:val="CommentSubject"/>
    <w:uiPriority w:val="99"/>
    <w:semiHidden/>
    <w:rsid w:val="000722A3"/>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0722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2A3"/>
    <w:rPr>
      <w:rFonts w:ascii="Segoe UI" w:eastAsia="Calibri" w:hAnsi="Segoe UI" w:cs="Segoe UI"/>
      <w:sz w:val="18"/>
      <w:szCs w:val="18"/>
    </w:rPr>
  </w:style>
  <w:style w:type="paragraph" w:styleId="Revision">
    <w:name w:val="Revision"/>
    <w:hidden/>
    <w:uiPriority w:val="99"/>
    <w:semiHidden/>
    <w:rsid w:val="009D6B5A"/>
    <w:pPr>
      <w:spacing w:after="0" w:line="240" w:lineRule="auto"/>
    </w:pPr>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5</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ABPS</dc:creator>
  <cp:keywords/>
  <dc:description/>
  <cp:lastModifiedBy>haresh.satapathy</cp:lastModifiedBy>
  <cp:revision>21</cp:revision>
  <cp:lastPrinted>2022-01-27T11:00:00Z</cp:lastPrinted>
  <dcterms:created xsi:type="dcterms:W3CDTF">2021-01-26T07:44:00Z</dcterms:created>
  <dcterms:modified xsi:type="dcterms:W3CDTF">2022-01-27T11:01:00Z</dcterms:modified>
</cp:coreProperties>
</file>